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02A237" w14:textId="1C4F985E" w:rsidR="004620C1" w:rsidRDefault="004620C1" w:rsidP="00983B05"/>
    <w:p w14:paraId="7A6BEA9A" w14:textId="77777777" w:rsidR="00445BB4" w:rsidRPr="007F78A8" w:rsidRDefault="00445BB4" w:rsidP="00445BB4">
      <w:pPr>
        <w:pStyle w:val="Heading2"/>
        <w:spacing w:line="480" w:lineRule="auto"/>
        <w:rPr>
          <w:rFonts w:ascii="Times New Roman" w:hAnsi="Times New Roman" w:cs="Times New Roman"/>
          <w:b w:val="0"/>
          <w:bCs/>
          <w:sz w:val="24"/>
          <w:szCs w:val="24"/>
        </w:rPr>
      </w:pPr>
      <w:r w:rsidRPr="00445BB4">
        <w:rPr>
          <w:rFonts w:ascii="Times New Roman" w:hAnsi="Times New Roman" w:cs="Times New Roman"/>
          <w:bCs/>
        </w:rPr>
        <w:t>What does it look like when young people have power? Reflections from a Scottish Youth Centre</w:t>
      </w:r>
    </w:p>
    <w:p w14:paraId="1914163A" w14:textId="77777777" w:rsidR="00445BB4" w:rsidRPr="00445BB4" w:rsidRDefault="00445BB4" w:rsidP="00445BB4">
      <w:pPr>
        <w:spacing w:line="480" w:lineRule="auto"/>
        <w:rPr>
          <w:rFonts w:ascii="Times New Roman" w:hAnsi="Times New Roman" w:cs="Times New Roman"/>
          <w:sz w:val="32"/>
          <w:szCs w:val="32"/>
        </w:rPr>
      </w:pPr>
      <w:r w:rsidRPr="00D6355B">
        <w:rPr>
          <w:rFonts w:ascii="Times New Roman" w:hAnsi="Times New Roman" w:cs="Times New Roman"/>
          <w:sz w:val="32"/>
          <w:szCs w:val="32"/>
        </w:rPr>
        <w:t>Dr Lara Morcillo Sanchez,</w:t>
      </w:r>
      <w:r w:rsidRPr="00445BB4">
        <w:rPr>
          <w:rFonts w:ascii="Times New Roman" w:hAnsi="Times New Roman" w:cs="Times New Roman"/>
          <w:sz w:val="32"/>
          <w:szCs w:val="32"/>
        </w:rPr>
        <w:t xml:space="preserve"> University of Girona</w:t>
      </w:r>
    </w:p>
    <w:p w14:paraId="32A56159" w14:textId="77777777" w:rsidR="00445BB4" w:rsidRPr="00445BB4" w:rsidRDefault="00445BB4" w:rsidP="00445BB4">
      <w:pPr>
        <w:spacing w:line="480" w:lineRule="auto"/>
        <w:rPr>
          <w:rFonts w:ascii="Times New Roman" w:hAnsi="Times New Roman" w:cs="Times New Roman"/>
          <w:sz w:val="32"/>
          <w:szCs w:val="32"/>
        </w:rPr>
      </w:pPr>
      <w:r w:rsidRPr="00D6355B">
        <w:rPr>
          <w:rFonts w:ascii="Times New Roman" w:hAnsi="Times New Roman" w:cs="Times New Roman"/>
          <w:sz w:val="32"/>
          <w:szCs w:val="32"/>
        </w:rPr>
        <w:t>Dr Louise Sheridan,</w:t>
      </w:r>
      <w:r w:rsidRPr="00445BB4">
        <w:rPr>
          <w:rFonts w:ascii="Times New Roman" w:hAnsi="Times New Roman" w:cs="Times New Roman"/>
          <w:sz w:val="32"/>
          <w:szCs w:val="32"/>
        </w:rPr>
        <w:t xml:space="preserve"> University of Glasgow</w:t>
      </w:r>
    </w:p>
    <w:p w14:paraId="0DC350DF" w14:textId="14077C00" w:rsidR="00633DEF"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b/>
          <w:bCs/>
          <w:sz w:val="24"/>
          <w:szCs w:val="24"/>
        </w:rPr>
        <w:t>Abstract</w:t>
      </w:r>
      <w:r w:rsidRPr="00445BB4">
        <w:rPr>
          <w:rFonts w:ascii="Times New Roman" w:hAnsi="Times New Roman" w:cs="Times New Roman"/>
          <w:sz w:val="24"/>
          <w:szCs w:val="24"/>
        </w:rPr>
        <w:t xml:space="preserve">: This article critically examines the tensions surrounding youth empowerment within contemporary youth work practice. Although youth empowerment has become a widely recognised principle in youth policy and rights-based discourse, its implementation in everyday socio-educational contexts remains complex and often contradictory. Drawing on critical and relational approaches to youth work, the article argues that empowerment cannot be understood solely as an individual process, but must also address broader structural inequalities, unequal opportunities, and the conditions that shape young people’s participation and </w:t>
      </w:r>
      <w:proofErr w:type="spellStart"/>
      <w:r w:rsidRPr="00445BB4">
        <w:rPr>
          <w:rFonts w:ascii="Times New Roman" w:hAnsi="Times New Roman" w:cs="Times New Roman"/>
          <w:sz w:val="24"/>
          <w:szCs w:val="24"/>
        </w:rPr>
        <w:t>agency.The</w:t>
      </w:r>
      <w:proofErr w:type="spellEnd"/>
      <w:r w:rsidRPr="00445BB4">
        <w:rPr>
          <w:rFonts w:ascii="Times New Roman" w:hAnsi="Times New Roman" w:cs="Times New Roman"/>
          <w:sz w:val="24"/>
          <w:szCs w:val="24"/>
        </w:rPr>
        <w:t xml:space="preserve"> discussion is informed by the concept of </w:t>
      </w:r>
      <w:proofErr w:type="spellStart"/>
      <w:r w:rsidRPr="00445BB4">
        <w:rPr>
          <w:rFonts w:ascii="Times New Roman" w:hAnsi="Times New Roman" w:cs="Times New Roman"/>
          <w:i/>
          <w:iCs/>
          <w:sz w:val="24"/>
          <w:szCs w:val="24"/>
        </w:rPr>
        <w:t>alfirmo</w:t>
      </w:r>
      <w:proofErr w:type="spellEnd"/>
      <w:r w:rsidRPr="00445BB4">
        <w:rPr>
          <w:rFonts w:ascii="Times New Roman" w:hAnsi="Times New Roman" w:cs="Times New Roman"/>
          <w:sz w:val="24"/>
          <w:szCs w:val="24"/>
        </w:rPr>
        <w:t xml:space="preserve">, understood as conveying belief in people’s capacity for positive change while providing care, compassion, and meaningful support. While youth work has long been associated with opportunities for personal growth and democratic participation, provision often continues to position young people as “citizens in training”, limiting the transformative potential of empowerment practices and their connection to wider community or structural change. This tension persists despite the radical tradition of youth work grounded in Paulo Freire's critical pedagogy and collective transformation. The article draws on two youth empowerment workshops conducted within a youth project: one involving seven young people and another involving fifteen youth workers. Through reflective discussion and qualitative analysis, the findings identify three key opportunities for youth workers to </w:t>
      </w:r>
    </w:p>
    <w:p w14:paraId="0539B204" w14:textId="77777777" w:rsidR="00633DEF" w:rsidRDefault="00633DEF" w:rsidP="00445BB4">
      <w:pPr>
        <w:spacing w:line="480" w:lineRule="auto"/>
        <w:jc w:val="both"/>
        <w:rPr>
          <w:rFonts w:ascii="Times New Roman" w:hAnsi="Times New Roman" w:cs="Times New Roman"/>
          <w:sz w:val="24"/>
          <w:szCs w:val="24"/>
        </w:rPr>
      </w:pPr>
    </w:p>
    <w:p w14:paraId="0D94689B" w14:textId="19023861" w:rsidR="00445BB4" w:rsidRPr="00445BB4"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challenge inequality and strengthen empowering practice: overcoming adult-centric discourses, fostering positive relational support, and creating reflective spaces within professional practice. The article concludes by emphasising the importance of relational, critical, and structurally aware approaches to youth empowerment in contemporary youth work.</w:t>
      </w:r>
    </w:p>
    <w:p w14:paraId="1D048518" w14:textId="1C7336D8" w:rsidR="00445BB4" w:rsidRPr="00445BB4" w:rsidRDefault="00445BB4" w:rsidP="00633DEF">
      <w:pPr>
        <w:pStyle w:val="Heading2"/>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Keywords</w:t>
      </w:r>
      <w:r w:rsidR="00633DEF">
        <w:rPr>
          <w:rFonts w:ascii="Times New Roman" w:hAnsi="Times New Roman" w:cs="Times New Roman"/>
          <w:sz w:val="24"/>
          <w:szCs w:val="24"/>
        </w:rPr>
        <w:t xml:space="preserve">: </w:t>
      </w:r>
      <w:r w:rsidRPr="00445BB4">
        <w:rPr>
          <w:rFonts w:ascii="Times New Roman" w:hAnsi="Times New Roman" w:cs="Times New Roman"/>
          <w:sz w:val="24"/>
          <w:szCs w:val="24"/>
        </w:rPr>
        <w:t>Empowerment, youth, youth workers, adultism</w:t>
      </w:r>
    </w:p>
    <w:p w14:paraId="5172A117" w14:textId="77777777" w:rsidR="00445BB4" w:rsidRPr="00445BB4" w:rsidRDefault="00445BB4" w:rsidP="00445BB4">
      <w:pPr>
        <w:spacing w:line="480" w:lineRule="auto"/>
        <w:jc w:val="both"/>
        <w:rPr>
          <w:rFonts w:ascii="Times New Roman" w:hAnsi="Times New Roman" w:cs="Times New Roman"/>
          <w:b/>
          <w:bCs/>
          <w:sz w:val="24"/>
          <w:szCs w:val="24"/>
        </w:rPr>
      </w:pPr>
      <w:r w:rsidRPr="00445BB4">
        <w:rPr>
          <w:rFonts w:ascii="Times New Roman" w:hAnsi="Times New Roman" w:cs="Times New Roman"/>
          <w:b/>
          <w:bCs/>
          <w:sz w:val="24"/>
          <w:szCs w:val="24"/>
        </w:rPr>
        <w:t xml:space="preserve">Introduction - How was this article born? </w:t>
      </w:r>
    </w:p>
    <w:p w14:paraId="281A78A2" w14:textId="77777777" w:rsidR="007B5915" w:rsidRDefault="00445BB4" w:rsidP="00445BB4">
      <w:pPr>
        <w:spacing w:line="480" w:lineRule="auto"/>
        <w:jc w:val="both"/>
        <w:rPr>
          <w:rFonts w:ascii="Times New Roman" w:hAnsi="Times New Roman" w:cs="Times New Roman"/>
          <w:sz w:val="24"/>
          <w:szCs w:val="24"/>
          <w:lang w:val="en-US"/>
        </w:rPr>
      </w:pPr>
      <w:r w:rsidRPr="00445BB4">
        <w:rPr>
          <w:rFonts w:ascii="Times New Roman" w:hAnsi="Times New Roman" w:cs="Times New Roman"/>
          <w:sz w:val="24"/>
          <w:szCs w:val="24"/>
          <w:lang w:val="en-US"/>
        </w:rPr>
        <w:t xml:space="preserve">This article emerged from an international doctoral research stay undertaken by one of the authors at the University of Glasgow. Both authors are grounded in the fields of youth work and social practice, drawing on their professional experience to inform their academic and pedagogical perspectives. The article responds to an ongoing tension: although youth empowerment has become a widely </w:t>
      </w:r>
      <w:proofErr w:type="spellStart"/>
      <w:r w:rsidRPr="00445BB4">
        <w:rPr>
          <w:rFonts w:ascii="Times New Roman" w:hAnsi="Times New Roman" w:cs="Times New Roman"/>
          <w:sz w:val="24"/>
          <w:szCs w:val="24"/>
          <w:lang w:val="en-US"/>
        </w:rPr>
        <w:t>recognised</w:t>
      </w:r>
      <w:proofErr w:type="spellEnd"/>
      <w:r w:rsidRPr="00445BB4">
        <w:rPr>
          <w:rFonts w:ascii="Times New Roman" w:hAnsi="Times New Roman" w:cs="Times New Roman"/>
          <w:sz w:val="24"/>
          <w:szCs w:val="24"/>
          <w:lang w:val="en-US"/>
        </w:rPr>
        <w:t xml:space="preserve"> principle in youth policy and rights-based discourse - including its implicit recognition within the United Nations Convention on the Rights of the Child (1991) - its implementation in everyday socio-educational practice remains complex and often contradictory. Efforts to foster youth empowerment are shaped not only by the assumptions and expectations held by both young people and youth workers regarding their own capacity for agency and participation, but also by broader structural conditions marked by inequality, </w:t>
      </w:r>
      <w:proofErr w:type="spellStart"/>
      <w:r w:rsidRPr="00445BB4">
        <w:rPr>
          <w:rFonts w:ascii="Times New Roman" w:hAnsi="Times New Roman" w:cs="Times New Roman"/>
          <w:sz w:val="24"/>
          <w:szCs w:val="24"/>
          <w:lang w:val="en-US"/>
        </w:rPr>
        <w:t>individualisation</w:t>
      </w:r>
      <w:proofErr w:type="spellEnd"/>
      <w:r w:rsidRPr="00445BB4">
        <w:rPr>
          <w:rFonts w:ascii="Times New Roman" w:hAnsi="Times New Roman" w:cs="Times New Roman"/>
          <w:sz w:val="24"/>
          <w:szCs w:val="24"/>
          <w:lang w:val="en-US"/>
        </w:rPr>
        <w:t>, and weakening forms of community engagement.</w:t>
      </w:r>
      <w:r w:rsidR="007B5915">
        <w:rPr>
          <w:rFonts w:ascii="Times New Roman" w:hAnsi="Times New Roman" w:cs="Times New Roman"/>
          <w:sz w:val="24"/>
          <w:szCs w:val="24"/>
          <w:lang w:val="en-US"/>
        </w:rPr>
        <w:t xml:space="preserve"> </w:t>
      </w:r>
      <w:r w:rsidRPr="00445BB4">
        <w:rPr>
          <w:rFonts w:ascii="Times New Roman" w:hAnsi="Times New Roman" w:cs="Times New Roman"/>
          <w:sz w:val="24"/>
          <w:szCs w:val="24"/>
          <w:lang w:val="en-US"/>
        </w:rPr>
        <w:t>Throughout the research stay</w:t>
      </w:r>
      <w:r w:rsidRPr="00445BB4">
        <w:rPr>
          <w:rStyle w:val="FootnoteReference"/>
          <w:rFonts w:ascii="Times New Roman" w:hAnsi="Times New Roman" w:cs="Times New Roman"/>
          <w:sz w:val="24"/>
          <w:szCs w:val="24"/>
          <w:lang w:val="en-US"/>
        </w:rPr>
        <w:footnoteReference w:id="1"/>
      </w:r>
      <w:r w:rsidRPr="00445BB4">
        <w:rPr>
          <w:rFonts w:ascii="Times New Roman" w:hAnsi="Times New Roman" w:cs="Times New Roman"/>
          <w:sz w:val="24"/>
          <w:szCs w:val="24"/>
          <w:lang w:val="en-US"/>
        </w:rPr>
        <w:t xml:space="preserve">, the authors collaboratively developed shared perspectives, working hypotheses, </w:t>
      </w:r>
    </w:p>
    <w:p w14:paraId="06A2340F" w14:textId="77777777" w:rsidR="007B5915" w:rsidRDefault="007B5915" w:rsidP="00445BB4">
      <w:pPr>
        <w:spacing w:line="480" w:lineRule="auto"/>
        <w:jc w:val="both"/>
        <w:rPr>
          <w:rFonts w:ascii="Times New Roman" w:hAnsi="Times New Roman" w:cs="Times New Roman"/>
          <w:sz w:val="24"/>
          <w:szCs w:val="24"/>
          <w:lang w:val="en-US"/>
        </w:rPr>
      </w:pPr>
    </w:p>
    <w:p w14:paraId="0F7B6573" w14:textId="1A92A3CA" w:rsidR="00445BB4" w:rsidRPr="00445BB4" w:rsidRDefault="00445BB4" w:rsidP="00445BB4">
      <w:pPr>
        <w:spacing w:line="480" w:lineRule="auto"/>
        <w:jc w:val="both"/>
        <w:rPr>
          <w:rFonts w:ascii="Times New Roman" w:hAnsi="Times New Roman" w:cs="Times New Roman"/>
          <w:sz w:val="24"/>
          <w:szCs w:val="24"/>
          <w:lang w:val="en-US"/>
        </w:rPr>
      </w:pPr>
      <w:r w:rsidRPr="00445BB4">
        <w:rPr>
          <w:rFonts w:ascii="Times New Roman" w:hAnsi="Times New Roman" w:cs="Times New Roman"/>
          <w:sz w:val="24"/>
          <w:szCs w:val="24"/>
          <w:lang w:val="en-US"/>
        </w:rPr>
        <w:t xml:space="preserve">and analytical frameworks that ultimately led to the design and facilitation of two youth empowerment workshops within a youth </w:t>
      </w:r>
      <w:proofErr w:type="spellStart"/>
      <w:r w:rsidRPr="00445BB4">
        <w:rPr>
          <w:rFonts w:ascii="Times New Roman" w:hAnsi="Times New Roman" w:cs="Times New Roman"/>
          <w:sz w:val="24"/>
          <w:szCs w:val="24"/>
          <w:lang w:val="en-US"/>
        </w:rPr>
        <w:t>organisation</w:t>
      </w:r>
      <w:proofErr w:type="spellEnd"/>
      <w:r w:rsidRPr="00445BB4">
        <w:rPr>
          <w:rFonts w:ascii="Times New Roman" w:hAnsi="Times New Roman" w:cs="Times New Roman"/>
          <w:sz w:val="24"/>
          <w:szCs w:val="24"/>
          <w:lang w:val="en-US"/>
        </w:rPr>
        <w:t>, one involving young people and another involving youth workers. The reflections generated before, during, and after these workshops, together with the analysis of the sessions themselves, form the basis of this article.</w:t>
      </w:r>
    </w:p>
    <w:p w14:paraId="0BEFA820" w14:textId="77777777" w:rsidR="00445BB4" w:rsidRPr="00445BB4" w:rsidRDefault="00445BB4" w:rsidP="00445BB4">
      <w:pPr>
        <w:pStyle w:val="Heading3"/>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Framing the Study – Perspectives on Youth: Conflict,  Conformity or Opportunity?</w:t>
      </w:r>
    </w:p>
    <w:p w14:paraId="041181B6" w14:textId="77777777" w:rsidR="00445BB4" w:rsidRPr="00445BB4"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Multiple perspectives of youth exist. Sociologically, young people can be seen as sources of social disruption, as citizens in training, or as key drivers of societal progress (James and McGillicuddy, 2001). These perspectives emphasise the need for a nuanced understanding of the approaches taken within youth work contexts. Young people may be viewed as disengaged, underperforming or as capable of achieving great potential with the right support.  The views on young people held by youth workers shapes the way they work, and the outcomes for young people. Embodying ‘</w:t>
      </w:r>
      <w:proofErr w:type="spellStart"/>
      <w:r w:rsidRPr="00445BB4">
        <w:rPr>
          <w:rFonts w:ascii="Times New Roman" w:hAnsi="Times New Roman" w:cs="Times New Roman"/>
          <w:sz w:val="24"/>
          <w:szCs w:val="24"/>
        </w:rPr>
        <w:t>alfirmo</w:t>
      </w:r>
      <w:proofErr w:type="spellEnd"/>
      <w:r w:rsidRPr="00445BB4">
        <w:rPr>
          <w:rFonts w:ascii="Times New Roman" w:hAnsi="Times New Roman" w:cs="Times New Roman"/>
          <w:sz w:val="24"/>
          <w:szCs w:val="24"/>
        </w:rPr>
        <w:t xml:space="preserve">’, which means ‘conveying the belief in people’s ability to achieve positive change, demonstrating care and compassion for people, and providing the necessary support when needed to help them achieve their goals’ (Sheridan and Mungai, 2021, p.6). Young people may represent an opportunity for community and societal development, particularly when provided with education and resources that meets their needs. </w:t>
      </w:r>
    </w:p>
    <w:p w14:paraId="690CB67C" w14:textId="77777777" w:rsidR="007B5915"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 xml:space="preserve">Youth policy has shifted from viewing young people as problematic to underlining young people as a positive resource (Dunne et al., 2014). Nevertheless, dominant groups continue to disregard young people’s potential. According to Corney et al. (2022, p.678), young people are ‘marginalised by the specific social, political, cultural and economic contexts in which they live’ and face adultism, in which adults are positioned as superior. </w:t>
      </w:r>
      <w:proofErr w:type="spellStart"/>
      <w:r w:rsidRPr="00445BB4">
        <w:rPr>
          <w:rFonts w:ascii="Times New Roman" w:hAnsi="Times New Roman" w:cs="Times New Roman"/>
          <w:sz w:val="24"/>
          <w:szCs w:val="24"/>
        </w:rPr>
        <w:t>Sheykhi</w:t>
      </w:r>
      <w:proofErr w:type="spellEnd"/>
      <w:r w:rsidRPr="00445BB4">
        <w:rPr>
          <w:rFonts w:ascii="Times New Roman" w:hAnsi="Times New Roman" w:cs="Times New Roman"/>
          <w:sz w:val="24"/>
          <w:szCs w:val="24"/>
        </w:rPr>
        <w:t xml:space="preserve"> (2021) emphasises the importance of understanding young people within their broader social context. Youth work </w:t>
      </w:r>
    </w:p>
    <w:p w14:paraId="48AE01F9" w14:textId="77777777" w:rsidR="007B5915" w:rsidRDefault="007B5915" w:rsidP="00445BB4">
      <w:pPr>
        <w:spacing w:line="480" w:lineRule="auto"/>
        <w:jc w:val="both"/>
        <w:rPr>
          <w:rFonts w:ascii="Times New Roman" w:hAnsi="Times New Roman" w:cs="Times New Roman"/>
          <w:sz w:val="24"/>
          <w:szCs w:val="24"/>
        </w:rPr>
      </w:pPr>
    </w:p>
    <w:p w14:paraId="2EA9CB6E" w14:textId="27C19641" w:rsidR="00445BB4" w:rsidRPr="00445BB4"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settings provide spaces in which to explore the intersecting factors that influence young people’s day-to-day experiences, usually under the banner of youth participation or youth empowerment approaches (Sala-Torrent and Planas-</w:t>
      </w:r>
      <w:proofErr w:type="spellStart"/>
      <w:r w:rsidRPr="00445BB4">
        <w:rPr>
          <w:rFonts w:ascii="Times New Roman" w:hAnsi="Times New Roman" w:cs="Times New Roman"/>
          <w:sz w:val="24"/>
          <w:szCs w:val="24"/>
        </w:rPr>
        <w:t>Lladó</w:t>
      </w:r>
      <w:proofErr w:type="spellEnd"/>
      <w:r w:rsidRPr="00445BB4">
        <w:rPr>
          <w:rFonts w:ascii="Times New Roman" w:hAnsi="Times New Roman" w:cs="Times New Roman"/>
          <w:sz w:val="24"/>
          <w:szCs w:val="24"/>
        </w:rPr>
        <w:t>, 2024).</w:t>
      </w:r>
    </w:p>
    <w:p w14:paraId="42EE0A29" w14:textId="77777777" w:rsidR="00445BB4" w:rsidRPr="00445BB4" w:rsidRDefault="00445BB4" w:rsidP="00445BB4">
      <w:pPr>
        <w:pStyle w:val="Heading3"/>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Youth Empowerment – We all know what it means? Right?</w:t>
      </w:r>
    </w:p>
    <w:p w14:paraId="4108A082" w14:textId="77777777" w:rsidR="00445BB4" w:rsidRPr="00445BB4" w:rsidRDefault="00445BB4" w:rsidP="00445BB4">
      <w:pPr>
        <w:spacing w:line="480" w:lineRule="auto"/>
        <w:jc w:val="both"/>
        <w:rPr>
          <w:rFonts w:ascii="Times New Roman" w:hAnsi="Times New Roman" w:cs="Times New Roman"/>
          <w:b/>
          <w:bCs/>
          <w:sz w:val="24"/>
          <w:szCs w:val="24"/>
        </w:rPr>
      </w:pPr>
      <w:r w:rsidRPr="00445BB4">
        <w:rPr>
          <w:rFonts w:ascii="Times New Roman" w:hAnsi="Times New Roman" w:cs="Times New Roman"/>
          <w:sz w:val="24"/>
          <w:szCs w:val="24"/>
        </w:rPr>
        <w:t>Empowerment has been a popular term since 1970s (</w:t>
      </w:r>
      <w:proofErr w:type="spellStart"/>
      <w:r w:rsidRPr="00445BB4">
        <w:rPr>
          <w:rFonts w:ascii="Times New Roman" w:hAnsi="Times New Roman" w:cs="Times New Roman"/>
          <w:sz w:val="24"/>
          <w:szCs w:val="24"/>
        </w:rPr>
        <w:t>Ciraso</w:t>
      </w:r>
      <w:proofErr w:type="spellEnd"/>
      <w:r w:rsidRPr="00445BB4">
        <w:rPr>
          <w:rFonts w:ascii="Times New Roman" w:hAnsi="Times New Roman" w:cs="Times New Roman"/>
          <w:sz w:val="24"/>
          <w:szCs w:val="24"/>
        </w:rPr>
        <w:t xml:space="preserve"> et al., 2023) and the body of research on youth empowerment has increased notably over the past 20 years (Planas-</w:t>
      </w:r>
      <w:proofErr w:type="spellStart"/>
      <w:r w:rsidRPr="00445BB4">
        <w:rPr>
          <w:rFonts w:ascii="Times New Roman" w:hAnsi="Times New Roman" w:cs="Times New Roman"/>
          <w:sz w:val="24"/>
          <w:szCs w:val="24"/>
        </w:rPr>
        <w:t>Lladó</w:t>
      </w:r>
      <w:proofErr w:type="spellEnd"/>
      <w:r w:rsidRPr="00445BB4">
        <w:rPr>
          <w:rFonts w:ascii="Times New Roman" w:hAnsi="Times New Roman" w:cs="Times New Roman"/>
          <w:sz w:val="24"/>
          <w:szCs w:val="24"/>
        </w:rPr>
        <w:t xml:space="preserve"> &amp; </w:t>
      </w:r>
      <w:proofErr w:type="spellStart"/>
      <w:r w:rsidRPr="00445BB4">
        <w:rPr>
          <w:rFonts w:ascii="Times New Roman" w:hAnsi="Times New Roman" w:cs="Times New Roman"/>
          <w:sz w:val="24"/>
          <w:szCs w:val="24"/>
        </w:rPr>
        <w:t>Úcar</w:t>
      </w:r>
      <w:proofErr w:type="spellEnd"/>
      <w:r w:rsidRPr="00445BB4">
        <w:rPr>
          <w:rFonts w:ascii="Times New Roman" w:hAnsi="Times New Roman" w:cs="Times New Roman"/>
          <w:sz w:val="24"/>
          <w:szCs w:val="24"/>
        </w:rPr>
        <w:t>, 2022). Planas-</w:t>
      </w:r>
      <w:proofErr w:type="spellStart"/>
      <w:r w:rsidRPr="00445BB4">
        <w:rPr>
          <w:rFonts w:ascii="Times New Roman" w:hAnsi="Times New Roman" w:cs="Times New Roman"/>
          <w:sz w:val="24"/>
          <w:szCs w:val="24"/>
        </w:rPr>
        <w:t>Lladó</w:t>
      </w:r>
      <w:proofErr w:type="spellEnd"/>
      <w:r w:rsidRPr="00445BB4">
        <w:rPr>
          <w:rFonts w:ascii="Times New Roman" w:hAnsi="Times New Roman" w:cs="Times New Roman"/>
          <w:sz w:val="24"/>
          <w:szCs w:val="24"/>
        </w:rPr>
        <w:t xml:space="preserve"> &amp; </w:t>
      </w:r>
      <w:proofErr w:type="spellStart"/>
      <w:r w:rsidRPr="00445BB4">
        <w:rPr>
          <w:rFonts w:ascii="Times New Roman" w:hAnsi="Times New Roman" w:cs="Times New Roman"/>
          <w:sz w:val="24"/>
          <w:szCs w:val="24"/>
        </w:rPr>
        <w:t>Úcar</w:t>
      </w:r>
      <w:proofErr w:type="spellEnd"/>
      <w:r w:rsidRPr="00445BB4">
        <w:rPr>
          <w:rFonts w:ascii="Times New Roman" w:hAnsi="Times New Roman" w:cs="Times New Roman"/>
          <w:sz w:val="24"/>
          <w:szCs w:val="24"/>
        </w:rPr>
        <w:t xml:space="preserve"> (2022), and Jennings et al. (2006) call for a shift from viewing youth as passive recipients of services to active agents of change within their communities. Jennings et al</w:t>
      </w:r>
      <w:r w:rsidRPr="00445BB4">
        <w:rPr>
          <w:rFonts w:ascii="Times New Roman" w:hAnsi="Times New Roman" w:cs="Times New Roman"/>
          <w:b/>
          <w:bCs/>
          <w:sz w:val="24"/>
          <w:szCs w:val="24"/>
        </w:rPr>
        <w:t xml:space="preserve"> </w:t>
      </w:r>
      <w:r w:rsidRPr="00445BB4">
        <w:rPr>
          <w:rFonts w:ascii="Times New Roman" w:hAnsi="Times New Roman" w:cs="Times New Roman"/>
          <w:sz w:val="24"/>
          <w:szCs w:val="24"/>
        </w:rPr>
        <w:t xml:space="preserve">(2006) identified 6 key dimensions of critical youth empowerment: 1) a safe environment, 2) meaningful participation, 3) power sharing between youth and adults, 4) critical reflection, 5) participation in the sociopolitical sphere and 6) integration of individual and community. </w:t>
      </w:r>
    </w:p>
    <w:p w14:paraId="03027E5C" w14:textId="77777777" w:rsidR="00445BB4" w:rsidRPr="00445BB4" w:rsidRDefault="00445BB4" w:rsidP="00445BB4">
      <w:pPr>
        <w:spacing w:line="480" w:lineRule="auto"/>
        <w:jc w:val="both"/>
        <w:rPr>
          <w:rFonts w:ascii="Times New Roman" w:hAnsi="Times New Roman" w:cs="Times New Roman"/>
          <w:b/>
          <w:bCs/>
          <w:sz w:val="24"/>
          <w:szCs w:val="24"/>
        </w:rPr>
      </w:pPr>
      <w:r w:rsidRPr="00445BB4">
        <w:rPr>
          <w:rFonts w:ascii="Times New Roman" w:hAnsi="Times New Roman" w:cs="Times New Roman"/>
          <w:sz w:val="24"/>
          <w:szCs w:val="24"/>
        </w:rPr>
        <w:t>The concept of empowerment on which this study is based is the one developed by Soler et al. (2017)</w:t>
      </w:r>
      <w:r w:rsidRPr="00445BB4">
        <w:rPr>
          <w:rFonts w:ascii="Times New Roman" w:hAnsi="Times New Roman" w:cs="Times New Roman"/>
          <w:b/>
          <w:bCs/>
          <w:sz w:val="24"/>
          <w:szCs w:val="24"/>
        </w:rPr>
        <w:t xml:space="preserve">. </w:t>
      </w:r>
      <w:r w:rsidRPr="00445BB4">
        <w:rPr>
          <w:rFonts w:ascii="Times New Roman" w:hAnsi="Times New Roman" w:cs="Times New Roman"/>
          <w:sz w:val="24"/>
          <w:szCs w:val="24"/>
        </w:rPr>
        <w:t>According to these authors</w:t>
      </w:r>
      <w:r w:rsidRPr="00445BB4">
        <w:rPr>
          <w:rFonts w:ascii="Times New Roman" w:hAnsi="Times New Roman" w:cs="Times New Roman"/>
          <w:b/>
          <w:bCs/>
          <w:sz w:val="24"/>
          <w:szCs w:val="24"/>
        </w:rPr>
        <w:t>:</w:t>
      </w:r>
    </w:p>
    <w:p w14:paraId="11B64ED0" w14:textId="77777777" w:rsidR="00445BB4" w:rsidRPr="00445BB4" w:rsidRDefault="00445BB4" w:rsidP="00445BB4">
      <w:pPr>
        <w:pStyle w:val="Estil1UofG"/>
        <w:numPr>
          <w:ilvl w:val="0"/>
          <w:numId w:val="0"/>
        </w:numPr>
        <w:spacing w:line="480" w:lineRule="auto"/>
        <w:ind w:left="720"/>
        <w:rPr>
          <w:rFonts w:ascii="Times New Roman" w:hAnsi="Times New Roman" w:cs="Times New Roman"/>
          <w:b w:val="0"/>
          <w:bCs w:val="0"/>
          <w:sz w:val="24"/>
          <w:szCs w:val="24"/>
        </w:rPr>
      </w:pPr>
      <w:r w:rsidRPr="00445BB4">
        <w:rPr>
          <w:rFonts w:ascii="Times New Roman" w:hAnsi="Times New Roman" w:cs="Times New Roman"/>
          <w:b w:val="0"/>
          <w:bCs w:val="0"/>
          <w:sz w:val="24"/>
          <w:szCs w:val="24"/>
        </w:rPr>
        <w:t>‘Empowerment is a process that increases the chances of individuals being able to decide and act consistently on everything that affects their own life, participate in decision-making and intervene in a shared and responsible way in relation to that which affects the community of which they form a part. This requires two conditions: that individuals acquire and develop a series of personal capacities [...] and that the environment enables them to effectively exercise those capacities. (p. 22)</w:t>
      </w:r>
    </w:p>
    <w:p w14:paraId="32627D61" w14:textId="77777777" w:rsidR="007B5915"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Planas-</w:t>
      </w:r>
      <w:proofErr w:type="spellStart"/>
      <w:r w:rsidRPr="00445BB4">
        <w:rPr>
          <w:rFonts w:ascii="Times New Roman" w:hAnsi="Times New Roman" w:cs="Times New Roman"/>
          <w:sz w:val="24"/>
          <w:szCs w:val="24"/>
        </w:rPr>
        <w:t>Lladó</w:t>
      </w:r>
      <w:proofErr w:type="spellEnd"/>
      <w:r w:rsidRPr="00445BB4">
        <w:rPr>
          <w:rFonts w:ascii="Times New Roman" w:hAnsi="Times New Roman" w:cs="Times New Roman"/>
          <w:sz w:val="24"/>
          <w:szCs w:val="24"/>
        </w:rPr>
        <w:t xml:space="preserve"> and </w:t>
      </w:r>
      <w:proofErr w:type="spellStart"/>
      <w:r w:rsidRPr="00445BB4">
        <w:rPr>
          <w:rFonts w:ascii="Times New Roman" w:hAnsi="Times New Roman" w:cs="Times New Roman"/>
          <w:sz w:val="24"/>
          <w:szCs w:val="24"/>
        </w:rPr>
        <w:t>Úcar</w:t>
      </w:r>
      <w:proofErr w:type="spellEnd"/>
      <w:r w:rsidRPr="00445BB4">
        <w:rPr>
          <w:rFonts w:ascii="Times New Roman" w:hAnsi="Times New Roman" w:cs="Times New Roman"/>
          <w:sz w:val="24"/>
          <w:szCs w:val="24"/>
        </w:rPr>
        <w:t xml:space="preserve"> (2022) constructed an inventory of 9 dimensions of youth empowerment shown in Table 1. In each field of action, educators can conceive empowerment </w:t>
      </w:r>
    </w:p>
    <w:p w14:paraId="0E3AC277" w14:textId="77777777" w:rsidR="007B5915" w:rsidRDefault="007B5915" w:rsidP="00445BB4">
      <w:pPr>
        <w:spacing w:line="480" w:lineRule="auto"/>
        <w:jc w:val="both"/>
        <w:rPr>
          <w:rFonts w:ascii="Times New Roman" w:hAnsi="Times New Roman" w:cs="Times New Roman"/>
          <w:sz w:val="24"/>
          <w:szCs w:val="24"/>
        </w:rPr>
      </w:pPr>
    </w:p>
    <w:p w14:paraId="19FA4EAB" w14:textId="0770D226" w:rsidR="00445BB4" w:rsidRPr="00445BB4"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 xml:space="preserve">in different ways. This means they may attempt to enable the dimensions of empowerment in different ways. </w:t>
      </w:r>
    </w:p>
    <w:p w14:paraId="32A8BD14" w14:textId="77777777" w:rsidR="00445BB4" w:rsidRPr="00445BB4" w:rsidRDefault="00445BB4" w:rsidP="00445BB4">
      <w:pPr>
        <w:pStyle w:val="Caption"/>
        <w:keepNext/>
        <w:spacing w:line="480" w:lineRule="auto"/>
        <w:rPr>
          <w:rFonts w:ascii="Times New Roman" w:hAnsi="Times New Roman" w:cs="Times New Roman"/>
          <w:sz w:val="24"/>
          <w:szCs w:val="24"/>
        </w:rPr>
      </w:pPr>
      <w:r w:rsidRPr="00445BB4">
        <w:rPr>
          <w:rFonts w:ascii="Times New Roman" w:hAnsi="Times New Roman" w:cs="Times New Roman"/>
          <w:sz w:val="24"/>
          <w:szCs w:val="24"/>
        </w:rPr>
        <w:t xml:space="preserve">Table </w:t>
      </w:r>
      <w:r w:rsidRPr="00445BB4">
        <w:rPr>
          <w:rFonts w:ascii="Times New Roman" w:hAnsi="Times New Roman" w:cs="Times New Roman"/>
          <w:sz w:val="24"/>
          <w:szCs w:val="24"/>
        </w:rPr>
        <w:fldChar w:fldCharType="begin"/>
      </w:r>
      <w:r w:rsidRPr="00445BB4">
        <w:rPr>
          <w:rFonts w:ascii="Times New Roman" w:hAnsi="Times New Roman" w:cs="Times New Roman"/>
          <w:sz w:val="24"/>
          <w:szCs w:val="24"/>
        </w:rPr>
        <w:instrText xml:space="preserve"> SEQ Table \* ARABIC </w:instrText>
      </w:r>
      <w:r w:rsidRPr="00445BB4">
        <w:rPr>
          <w:rFonts w:ascii="Times New Roman" w:hAnsi="Times New Roman" w:cs="Times New Roman"/>
          <w:sz w:val="24"/>
          <w:szCs w:val="24"/>
        </w:rPr>
        <w:fldChar w:fldCharType="separate"/>
      </w:r>
      <w:r w:rsidRPr="00445BB4">
        <w:rPr>
          <w:rFonts w:ascii="Times New Roman" w:hAnsi="Times New Roman" w:cs="Times New Roman"/>
          <w:noProof/>
          <w:sz w:val="24"/>
          <w:szCs w:val="24"/>
        </w:rPr>
        <w:t>1</w:t>
      </w:r>
      <w:r w:rsidRPr="00445BB4">
        <w:rPr>
          <w:rFonts w:ascii="Times New Roman" w:hAnsi="Times New Roman" w:cs="Times New Roman"/>
          <w:sz w:val="24"/>
          <w:szCs w:val="24"/>
        </w:rPr>
        <w:fldChar w:fldCharType="end"/>
      </w:r>
      <w:r w:rsidRPr="00445BB4">
        <w:rPr>
          <w:rFonts w:ascii="Times New Roman" w:hAnsi="Times New Roman" w:cs="Times New Roman"/>
          <w:noProof/>
          <w:sz w:val="24"/>
          <w:szCs w:val="24"/>
        </w:rPr>
        <w:t xml:space="preserve"> The 9 dimensions of youth empowerment by Planas-Lladó and Úcar (2022)</w:t>
      </w:r>
    </w:p>
    <w:p w14:paraId="0E6A82A2" w14:textId="77777777" w:rsidR="00445BB4" w:rsidRPr="00445BB4"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noProof/>
          <w:sz w:val="24"/>
          <w:szCs w:val="24"/>
        </w:rPr>
        <w:drawing>
          <wp:inline distT="0" distB="0" distL="0" distR="0" wp14:anchorId="06A5F001" wp14:editId="26F50EDC">
            <wp:extent cx="4590417" cy="4289747"/>
            <wp:effectExtent l="0" t="0" r="635" b="0"/>
            <wp:docPr id="117113117" name="Picture 1" descr="A list of words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3117" name="Picture 1" descr="A list of words with black text"/>
                    <pic:cNvPicPr/>
                  </pic:nvPicPr>
                  <pic:blipFill>
                    <a:blip r:embed="rId12"/>
                    <a:stretch>
                      <a:fillRect/>
                    </a:stretch>
                  </pic:blipFill>
                  <pic:spPr>
                    <a:xfrm>
                      <a:off x="0" y="0"/>
                      <a:ext cx="4624017" cy="4321146"/>
                    </a:xfrm>
                    <a:prstGeom prst="rect">
                      <a:avLst/>
                    </a:prstGeom>
                  </pic:spPr>
                </pic:pic>
              </a:graphicData>
            </a:graphic>
          </wp:inline>
        </w:drawing>
      </w:r>
    </w:p>
    <w:p w14:paraId="4A72386A" w14:textId="77777777" w:rsidR="007B5915" w:rsidRDefault="00445BB4" w:rsidP="00445BB4">
      <w:pPr>
        <w:pStyle w:val="Estil1UofG"/>
        <w:numPr>
          <w:ilvl w:val="0"/>
          <w:numId w:val="0"/>
        </w:numPr>
        <w:spacing w:line="480" w:lineRule="auto"/>
        <w:rPr>
          <w:rFonts w:ascii="Times New Roman" w:hAnsi="Times New Roman" w:cs="Times New Roman"/>
          <w:b w:val="0"/>
          <w:bCs w:val="0"/>
          <w:sz w:val="24"/>
          <w:szCs w:val="24"/>
        </w:rPr>
      </w:pPr>
      <w:r w:rsidRPr="00445BB4">
        <w:rPr>
          <w:rFonts w:ascii="Times New Roman" w:hAnsi="Times New Roman" w:cs="Times New Roman"/>
          <w:b w:val="0"/>
          <w:bCs w:val="0"/>
          <w:sz w:val="24"/>
          <w:szCs w:val="24"/>
        </w:rPr>
        <w:t xml:space="preserve">There is, however, consensus on the distinction between individual empowerment and community and social empowerment (Checkoway, 1997; Zimmerman, 2000). </w:t>
      </w:r>
      <w:bookmarkStart w:id="0" w:name="_Hlk227525308"/>
      <w:proofErr w:type="spellStart"/>
      <w:r w:rsidRPr="00445BB4">
        <w:rPr>
          <w:rFonts w:ascii="Times New Roman" w:hAnsi="Times New Roman" w:cs="Times New Roman"/>
          <w:b w:val="0"/>
          <w:bCs w:val="0"/>
          <w:sz w:val="24"/>
          <w:szCs w:val="24"/>
          <w:lang w:val="en-GB"/>
        </w:rPr>
        <w:t>Ciraso</w:t>
      </w:r>
      <w:proofErr w:type="spellEnd"/>
      <w:r w:rsidRPr="00445BB4">
        <w:rPr>
          <w:rFonts w:ascii="Times New Roman" w:hAnsi="Times New Roman" w:cs="Times New Roman"/>
          <w:b w:val="0"/>
          <w:bCs w:val="0"/>
          <w:sz w:val="24"/>
          <w:szCs w:val="24"/>
          <w:lang w:val="en-GB"/>
        </w:rPr>
        <w:t xml:space="preserve"> et al. (2023) </w:t>
      </w:r>
      <w:bookmarkEnd w:id="0"/>
      <w:r w:rsidRPr="00445BB4">
        <w:rPr>
          <w:rFonts w:ascii="Times New Roman" w:hAnsi="Times New Roman" w:cs="Times New Roman"/>
          <w:b w:val="0"/>
          <w:bCs w:val="0"/>
          <w:sz w:val="24"/>
          <w:szCs w:val="24"/>
          <w:lang w:val="en-GB"/>
        </w:rPr>
        <w:t xml:space="preserve">surveyed 696 educators from various contexts and focused on how educators can enable young people to empower themselves. They found that formal educators tended towards individual empowerment outcomes, whereas those in informal contexts focused more on collective and social empowerment in young people. </w:t>
      </w:r>
      <w:r w:rsidRPr="00445BB4">
        <w:rPr>
          <w:rFonts w:ascii="Times New Roman" w:hAnsi="Times New Roman" w:cs="Times New Roman"/>
          <w:b w:val="0"/>
          <w:bCs w:val="0"/>
          <w:sz w:val="24"/>
          <w:szCs w:val="24"/>
        </w:rPr>
        <w:t xml:space="preserve">Crouzé et al. (2022) also suggest that non formal educational spaces are a fertile site for practices of empowerment and engagement. </w:t>
      </w:r>
    </w:p>
    <w:p w14:paraId="489D9ED0" w14:textId="77777777" w:rsidR="007B5915" w:rsidRDefault="007B5915" w:rsidP="00445BB4">
      <w:pPr>
        <w:pStyle w:val="Estil1UofG"/>
        <w:numPr>
          <w:ilvl w:val="0"/>
          <w:numId w:val="0"/>
        </w:numPr>
        <w:spacing w:line="480" w:lineRule="auto"/>
        <w:rPr>
          <w:rFonts w:ascii="Times New Roman" w:hAnsi="Times New Roman" w:cs="Times New Roman"/>
          <w:b w:val="0"/>
          <w:bCs w:val="0"/>
          <w:sz w:val="24"/>
          <w:szCs w:val="24"/>
        </w:rPr>
      </w:pPr>
    </w:p>
    <w:p w14:paraId="27223694" w14:textId="1AEB1BFE" w:rsidR="00445BB4" w:rsidRPr="00445BB4" w:rsidRDefault="00445BB4" w:rsidP="00445BB4">
      <w:pPr>
        <w:pStyle w:val="Estil1UofG"/>
        <w:numPr>
          <w:ilvl w:val="0"/>
          <w:numId w:val="0"/>
        </w:numPr>
        <w:spacing w:line="480" w:lineRule="auto"/>
        <w:rPr>
          <w:rFonts w:ascii="Times New Roman" w:hAnsi="Times New Roman" w:cs="Times New Roman"/>
          <w:b w:val="0"/>
          <w:bCs w:val="0"/>
          <w:sz w:val="24"/>
          <w:szCs w:val="24"/>
        </w:rPr>
      </w:pPr>
      <w:r w:rsidRPr="00445BB4">
        <w:rPr>
          <w:rFonts w:ascii="Times New Roman" w:hAnsi="Times New Roman" w:cs="Times New Roman"/>
          <w:b w:val="0"/>
          <w:bCs w:val="0"/>
          <w:sz w:val="24"/>
          <w:szCs w:val="24"/>
        </w:rPr>
        <w:t>There is more capacity for flexibility in non-formal spaces, with less of a hierarchy than in formal contexts, also the immediate environment is the most important factor for enabling empowerment in young people (Llena et al, 2023) Young people in Sheridan’s (2018, p.211) study of youth participation practice in North Ayrshire, Scotland, greatly appreciated working with youth workers ‘on the same level’ still recognising that youth workers have professional boundaries. This reflects one of Freire’s (1996, p.129) principles - ‘the importance of pedagogical space’, which emphasises the need to create the right space in which young people can thrive.</w:t>
      </w:r>
    </w:p>
    <w:p w14:paraId="6694884E" w14:textId="77777777" w:rsidR="00445BB4" w:rsidRPr="00445BB4" w:rsidRDefault="00445BB4" w:rsidP="00445BB4">
      <w:pPr>
        <w:pStyle w:val="Estil1UofG"/>
        <w:numPr>
          <w:ilvl w:val="0"/>
          <w:numId w:val="0"/>
        </w:numPr>
        <w:spacing w:line="480" w:lineRule="auto"/>
        <w:rPr>
          <w:rFonts w:ascii="Times New Roman" w:hAnsi="Times New Roman" w:cs="Times New Roman"/>
          <w:b w:val="0"/>
          <w:bCs w:val="0"/>
          <w:sz w:val="24"/>
          <w:szCs w:val="24"/>
        </w:rPr>
      </w:pPr>
      <w:r w:rsidRPr="00445BB4">
        <w:rPr>
          <w:rFonts w:ascii="Times New Roman" w:hAnsi="Times New Roman" w:cs="Times New Roman"/>
          <w:b w:val="0"/>
          <w:bCs w:val="0"/>
          <w:sz w:val="24"/>
          <w:szCs w:val="24"/>
        </w:rPr>
        <w:t>Research suggests, the hardest to reach young people are often the most marginalised (Evans &amp; Kruger, 2012). Ward et al’s. (2024) study shows how youth work in high-poverty communities is necessary and valuable to contribute to Scottish policy and to make the youth voice heard. The right for young people to participate is recognised and accepted in Scotland, United Kingdom and internationally (Lundy, 2018). However, not all the groups are equally engaged in civic development.</w:t>
      </w:r>
    </w:p>
    <w:p w14:paraId="6B3E0F8B" w14:textId="77777777" w:rsidR="00445BB4" w:rsidRPr="00445BB4" w:rsidRDefault="00445BB4" w:rsidP="00445BB4">
      <w:pPr>
        <w:pStyle w:val="Heading3"/>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Research Design</w:t>
      </w:r>
    </w:p>
    <w:p w14:paraId="58CA02FC" w14:textId="77777777" w:rsidR="009E02E9" w:rsidRDefault="00445BB4" w:rsidP="00445BB4">
      <w:pPr>
        <w:spacing w:line="480" w:lineRule="auto"/>
        <w:jc w:val="both"/>
        <w:rPr>
          <w:rFonts w:ascii="Times New Roman" w:eastAsia="Times New Roman" w:hAnsi="Times New Roman" w:cs="Times New Roman"/>
          <w:color w:val="000000"/>
          <w:sz w:val="24"/>
          <w:szCs w:val="24"/>
        </w:rPr>
      </w:pPr>
      <w:r w:rsidRPr="00445BB4">
        <w:rPr>
          <w:rFonts w:ascii="Times New Roman" w:eastAsia="Times New Roman" w:hAnsi="Times New Roman" w:cs="Times New Roman"/>
          <w:color w:val="000000"/>
          <w:sz w:val="24"/>
          <w:szCs w:val="24"/>
        </w:rPr>
        <w:t xml:space="preserve">The project took the form of a small, qualitative case study (Yin, 2012) involving participants from a purpose-built youth project that has operated for over 25 years in Scotland. The preliminary study, approved by a University of Glasgow Ethics Committee, was intended as a scoping exercise for a future project involving young people and youth workers from Glasgow, and from Girona. Purposive sampling (Campbell et al., 2020) was used to select the youth project; it is a long-established youth facility that promotes youth participation and involves young people in its Board of Directors. Two focus groups took place, one with young people (7 participants, aged 16 and 17 years old, who were doing a community-based learning unit as </w:t>
      </w:r>
    </w:p>
    <w:p w14:paraId="5801E137" w14:textId="77777777" w:rsidR="009E02E9" w:rsidRDefault="009E02E9" w:rsidP="00445BB4">
      <w:pPr>
        <w:spacing w:line="480" w:lineRule="auto"/>
        <w:jc w:val="both"/>
        <w:rPr>
          <w:rFonts w:ascii="Times New Roman" w:eastAsia="Times New Roman" w:hAnsi="Times New Roman" w:cs="Times New Roman"/>
          <w:color w:val="000000"/>
          <w:sz w:val="24"/>
          <w:szCs w:val="24"/>
        </w:rPr>
      </w:pPr>
    </w:p>
    <w:p w14:paraId="46E74753" w14:textId="58E15835" w:rsidR="00445BB4" w:rsidRPr="00445BB4" w:rsidRDefault="00445BB4" w:rsidP="00445BB4">
      <w:pPr>
        <w:spacing w:line="480" w:lineRule="auto"/>
        <w:jc w:val="both"/>
        <w:rPr>
          <w:rFonts w:ascii="Times New Roman" w:eastAsia="Times New Roman" w:hAnsi="Times New Roman" w:cs="Times New Roman"/>
          <w:color w:val="000000"/>
          <w:sz w:val="24"/>
          <w:szCs w:val="24"/>
        </w:rPr>
      </w:pPr>
      <w:r w:rsidRPr="00445BB4">
        <w:rPr>
          <w:rFonts w:ascii="Times New Roman" w:eastAsia="Times New Roman" w:hAnsi="Times New Roman" w:cs="Times New Roman"/>
          <w:color w:val="000000"/>
          <w:sz w:val="24"/>
          <w:szCs w:val="24"/>
        </w:rPr>
        <w:t xml:space="preserve">part of their school curriculum) and the other with youth workers (15 participants, a mix of voluntary (young leaders), sessional, and full-time youth workers). </w:t>
      </w:r>
    </w:p>
    <w:p w14:paraId="31A8107F" w14:textId="77777777" w:rsidR="00445BB4" w:rsidRPr="00445BB4" w:rsidRDefault="00445BB4" w:rsidP="00445BB4">
      <w:pPr>
        <w:spacing w:line="480" w:lineRule="auto"/>
        <w:jc w:val="both"/>
        <w:rPr>
          <w:rFonts w:ascii="Times New Roman" w:eastAsia="Times New Roman" w:hAnsi="Times New Roman" w:cs="Times New Roman"/>
          <w:color w:val="000000"/>
          <w:sz w:val="24"/>
          <w:szCs w:val="24"/>
        </w:rPr>
      </w:pPr>
      <w:r w:rsidRPr="00445BB4">
        <w:rPr>
          <w:rFonts w:ascii="Times New Roman" w:eastAsia="Times New Roman" w:hAnsi="Times New Roman" w:cs="Times New Roman"/>
          <w:color w:val="000000"/>
          <w:sz w:val="24"/>
          <w:szCs w:val="24"/>
        </w:rPr>
        <w:t xml:space="preserve">The focus groups with both young people and youth workers involved them working in pairs and trios and each group was given a blank booklet that had 3 sections to complete. This was called the ‘Magic Booklet’ – a description for which can be found </w:t>
      </w:r>
      <w:hyperlink r:id="rId13" w:history="1">
        <w:r w:rsidRPr="00445BB4">
          <w:rPr>
            <w:rStyle w:val="Hyperlink"/>
            <w:rFonts w:ascii="Times New Roman" w:eastAsia="Times New Roman" w:hAnsi="Times New Roman" w:cs="Times New Roman"/>
            <w:sz w:val="24"/>
            <w:szCs w:val="24"/>
          </w:rPr>
          <w:t>here</w:t>
        </w:r>
      </w:hyperlink>
      <w:r w:rsidRPr="00445BB4">
        <w:rPr>
          <w:rFonts w:ascii="Times New Roman" w:eastAsia="Times New Roman" w:hAnsi="Times New Roman" w:cs="Times New Roman"/>
          <w:color w:val="000000"/>
          <w:sz w:val="24"/>
          <w:szCs w:val="24"/>
        </w:rPr>
        <w:t>. Two sections of the booklet are visible, and one section is hidden. In the first section, both groups were asked to capture their perspectives on what it looks like when young people have power; youth workers were also asked how communities benefit when young people use their power. In the second section, the young people described what they feel are the benefits to communities when young people use their power. In the focus group with youth workers, the second section asked what young people need to empower themselves. They captured their ideas with words, symbols, or drawings. To familiarise them with concepts associated with youth empowerment, both were asked to rank statements associated with dimensions of empowerment (</w:t>
      </w:r>
      <w:proofErr w:type="spellStart"/>
      <w:r w:rsidRPr="00445BB4">
        <w:rPr>
          <w:rFonts w:ascii="Times New Roman" w:eastAsia="Times New Roman" w:hAnsi="Times New Roman" w:cs="Times New Roman"/>
          <w:color w:val="000000"/>
          <w:sz w:val="24"/>
          <w:szCs w:val="24"/>
        </w:rPr>
        <w:t>Ciraso</w:t>
      </w:r>
      <w:proofErr w:type="spellEnd"/>
      <w:r w:rsidRPr="00445BB4">
        <w:rPr>
          <w:rFonts w:ascii="Times New Roman" w:eastAsia="Times New Roman" w:hAnsi="Times New Roman" w:cs="Times New Roman"/>
          <w:color w:val="000000"/>
          <w:sz w:val="24"/>
          <w:szCs w:val="24"/>
        </w:rPr>
        <w:t xml:space="preserve"> et al., 2023). Young people were asked to rank the following statements, individually, based on what they felt was the most to least important element in terms of helping them achieve their own empowerment. To get some sense of the youth workers’ perspectives of young people, they were asked to rank the same statements based on what they thought would be 'most important' to 'least important' for young people.</w:t>
      </w:r>
    </w:p>
    <w:p w14:paraId="6DB9BAC3" w14:textId="77777777" w:rsidR="009E02E9" w:rsidRDefault="009E02E9" w:rsidP="00445BB4">
      <w:pPr>
        <w:pStyle w:val="Caption"/>
        <w:keepNext/>
        <w:spacing w:line="480" w:lineRule="auto"/>
        <w:rPr>
          <w:rFonts w:ascii="Times New Roman" w:hAnsi="Times New Roman" w:cs="Times New Roman"/>
          <w:sz w:val="24"/>
          <w:szCs w:val="24"/>
        </w:rPr>
      </w:pPr>
    </w:p>
    <w:p w14:paraId="178DADB5" w14:textId="5B29CD66" w:rsidR="00445BB4" w:rsidRPr="00445BB4" w:rsidRDefault="00445BB4" w:rsidP="00445BB4">
      <w:pPr>
        <w:pStyle w:val="Caption"/>
        <w:keepNext/>
        <w:spacing w:line="480" w:lineRule="auto"/>
        <w:rPr>
          <w:rFonts w:ascii="Times New Roman" w:hAnsi="Times New Roman" w:cs="Times New Roman"/>
          <w:sz w:val="24"/>
          <w:szCs w:val="24"/>
        </w:rPr>
      </w:pPr>
      <w:r w:rsidRPr="00445BB4">
        <w:rPr>
          <w:rFonts w:ascii="Times New Roman" w:hAnsi="Times New Roman" w:cs="Times New Roman"/>
          <w:sz w:val="24"/>
          <w:szCs w:val="24"/>
        </w:rPr>
        <w:t xml:space="preserve">Table </w:t>
      </w:r>
      <w:r w:rsidRPr="00445BB4">
        <w:rPr>
          <w:rFonts w:ascii="Times New Roman" w:hAnsi="Times New Roman" w:cs="Times New Roman"/>
          <w:sz w:val="24"/>
          <w:szCs w:val="24"/>
        </w:rPr>
        <w:fldChar w:fldCharType="begin"/>
      </w:r>
      <w:r w:rsidRPr="00445BB4">
        <w:rPr>
          <w:rFonts w:ascii="Times New Roman" w:hAnsi="Times New Roman" w:cs="Times New Roman"/>
          <w:sz w:val="24"/>
          <w:szCs w:val="24"/>
        </w:rPr>
        <w:instrText xml:space="preserve"> SEQ Tabla \* ARABIC </w:instrText>
      </w:r>
      <w:r w:rsidRPr="00445BB4">
        <w:rPr>
          <w:rFonts w:ascii="Times New Roman" w:hAnsi="Times New Roman" w:cs="Times New Roman"/>
          <w:sz w:val="24"/>
          <w:szCs w:val="24"/>
        </w:rPr>
        <w:fldChar w:fldCharType="separate"/>
      </w:r>
      <w:r w:rsidRPr="00445BB4">
        <w:rPr>
          <w:rFonts w:ascii="Times New Roman" w:hAnsi="Times New Roman" w:cs="Times New Roman"/>
          <w:noProof/>
          <w:sz w:val="24"/>
          <w:szCs w:val="24"/>
        </w:rPr>
        <w:t>1</w:t>
      </w:r>
      <w:r w:rsidRPr="00445BB4">
        <w:rPr>
          <w:rFonts w:ascii="Times New Roman" w:hAnsi="Times New Roman" w:cs="Times New Roman"/>
          <w:sz w:val="24"/>
          <w:szCs w:val="24"/>
        </w:rPr>
        <w:fldChar w:fldCharType="end"/>
      </w:r>
      <w:r w:rsidRPr="00445BB4">
        <w:rPr>
          <w:rFonts w:ascii="Times New Roman" w:hAnsi="Times New Roman" w:cs="Times New Roman"/>
          <w:sz w:val="24"/>
          <w:szCs w:val="24"/>
        </w:rPr>
        <w:t xml:space="preserve">. Statements about youth empowerment. Adapted from the dimensions of empowerment defined by Ciraso et al. (2023). </w:t>
      </w:r>
    </w:p>
    <w:p w14:paraId="314DBCDD" w14:textId="77777777" w:rsidR="00445BB4" w:rsidRPr="00445BB4" w:rsidRDefault="00445BB4" w:rsidP="00445BB4">
      <w:pPr>
        <w:spacing w:line="480" w:lineRule="auto"/>
        <w:jc w:val="both"/>
        <w:rPr>
          <w:rFonts w:ascii="Times New Roman" w:eastAsia="Times New Roman" w:hAnsi="Times New Roman" w:cs="Times New Roman"/>
          <w:color w:val="000000"/>
          <w:sz w:val="24"/>
          <w:szCs w:val="24"/>
        </w:rPr>
      </w:pPr>
      <w:r w:rsidRPr="00445BB4">
        <w:rPr>
          <w:rFonts w:ascii="Times New Roman" w:hAnsi="Times New Roman" w:cs="Times New Roman"/>
          <w:noProof/>
          <w:sz w:val="24"/>
          <w:szCs w:val="24"/>
        </w:rPr>
        <w:drawing>
          <wp:inline distT="0" distB="0" distL="0" distR="0" wp14:anchorId="2247E61D" wp14:editId="3B53B85C">
            <wp:extent cx="5400040" cy="2571115"/>
            <wp:effectExtent l="0" t="0" r="0" b="0"/>
            <wp:docPr id="7443318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40" cy="2571115"/>
                    </a:xfrm>
                    <a:prstGeom prst="rect">
                      <a:avLst/>
                    </a:prstGeom>
                    <a:noFill/>
                    <a:ln>
                      <a:noFill/>
                    </a:ln>
                  </pic:spPr>
                </pic:pic>
              </a:graphicData>
            </a:graphic>
          </wp:inline>
        </w:drawing>
      </w:r>
    </w:p>
    <w:p w14:paraId="0E534866" w14:textId="77777777" w:rsidR="00445BB4" w:rsidRPr="00445BB4" w:rsidRDefault="00445BB4" w:rsidP="00445BB4">
      <w:pPr>
        <w:spacing w:line="480" w:lineRule="auto"/>
        <w:jc w:val="both"/>
        <w:rPr>
          <w:rFonts w:ascii="Times New Roman" w:eastAsia="Times New Roman" w:hAnsi="Times New Roman" w:cs="Times New Roman"/>
          <w:color w:val="000000"/>
          <w:sz w:val="24"/>
          <w:szCs w:val="24"/>
        </w:rPr>
      </w:pPr>
      <w:r w:rsidRPr="00445BB4">
        <w:rPr>
          <w:rFonts w:ascii="Times New Roman" w:eastAsia="Times New Roman" w:hAnsi="Times New Roman" w:cs="Times New Roman"/>
          <w:color w:val="000000"/>
          <w:sz w:val="24"/>
          <w:szCs w:val="24"/>
        </w:rPr>
        <w:t xml:space="preserve">Having completed the ranking exercise, the participants returned to their pairs and trios to complete the Magic Booklet. The hidden section was revealed. Young people were asked to capture their thoughts on the benefits of youth empowerment, and the youth workers were asked what the youth project does to promote youth empowerment. When it became apparent that some of the youth participants struggled to contemplate this idea. We suggested that they could refer to the statements they had ranked for some inspiration, which some did. </w:t>
      </w:r>
    </w:p>
    <w:p w14:paraId="2C0D29ED" w14:textId="77777777" w:rsidR="00445BB4" w:rsidRDefault="00445BB4" w:rsidP="00445BB4">
      <w:pPr>
        <w:spacing w:line="480" w:lineRule="auto"/>
        <w:jc w:val="both"/>
        <w:rPr>
          <w:rFonts w:ascii="Times New Roman" w:eastAsia="Times New Roman" w:hAnsi="Times New Roman" w:cs="Times New Roman"/>
          <w:color w:val="000000"/>
          <w:sz w:val="24"/>
          <w:szCs w:val="24"/>
        </w:rPr>
      </w:pPr>
      <w:r w:rsidRPr="00445BB4">
        <w:rPr>
          <w:rFonts w:ascii="Times New Roman" w:eastAsia="Times New Roman" w:hAnsi="Times New Roman" w:cs="Times New Roman"/>
          <w:color w:val="000000"/>
          <w:sz w:val="24"/>
          <w:szCs w:val="24"/>
        </w:rPr>
        <w:t xml:space="preserve">In the final stage of the focus groups with youth participants and youth workers, they were invited to record their thoughts on feedback murals. On one mural, participants were invited to place an emoji sticker in the section that best reflected how they felt about the session e.g., happy, neutral, or unhappy, that captured how they felt about the session. On the other mural, they placed a sticker beside the statement that best captured their final thoughts in relation to the topic – see </w:t>
      </w:r>
      <w:r w:rsidRPr="00445BB4">
        <w:rPr>
          <w:rFonts w:ascii="Times New Roman" w:eastAsia="Times New Roman" w:hAnsi="Times New Roman" w:cs="Times New Roman"/>
          <w:i/>
          <w:iCs/>
          <w:color w:val="000000"/>
          <w:sz w:val="24"/>
          <w:szCs w:val="24"/>
        </w:rPr>
        <w:t>Image 1</w:t>
      </w:r>
      <w:r w:rsidRPr="00445BB4">
        <w:rPr>
          <w:rFonts w:ascii="Times New Roman" w:eastAsia="Times New Roman" w:hAnsi="Times New Roman" w:cs="Times New Roman"/>
          <w:color w:val="000000"/>
          <w:sz w:val="24"/>
          <w:szCs w:val="24"/>
        </w:rPr>
        <w:t xml:space="preserve"> as an example from the focus group with young people:</w:t>
      </w:r>
    </w:p>
    <w:p w14:paraId="46D56FC7" w14:textId="77777777" w:rsidR="009E02E9" w:rsidRPr="00445BB4" w:rsidRDefault="009E02E9" w:rsidP="00445BB4">
      <w:pPr>
        <w:spacing w:line="480" w:lineRule="auto"/>
        <w:jc w:val="both"/>
        <w:rPr>
          <w:rFonts w:ascii="Times New Roman" w:eastAsia="Times New Roman" w:hAnsi="Times New Roman" w:cs="Times New Roman"/>
          <w:color w:val="000000"/>
          <w:sz w:val="24"/>
          <w:szCs w:val="24"/>
        </w:rPr>
      </w:pPr>
    </w:p>
    <w:p w14:paraId="100E3DC5" w14:textId="77777777" w:rsidR="00445BB4" w:rsidRPr="00445BB4" w:rsidRDefault="00445BB4" w:rsidP="00445BB4">
      <w:pPr>
        <w:keepNext/>
        <w:spacing w:line="480" w:lineRule="auto"/>
        <w:jc w:val="both"/>
        <w:rPr>
          <w:rFonts w:ascii="Times New Roman" w:hAnsi="Times New Roman" w:cs="Times New Roman"/>
          <w:sz w:val="24"/>
          <w:szCs w:val="24"/>
        </w:rPr>
      </w:pPr>
      <w:r w:rsidRPr="00445BB4">
        <w:rPr>
          <w:rFonts w:ascii="Times New Roman" w:eastAsia="Times New Roman" w:hAnsi="Times New Roman" w:cs="Times New Roman"/>
          <w:noProof/>
          <w:color w:val="000000"/>
          <w:sz w:val="24"/>
          <w:szCs w:val="24"/>
        </w:rPr>
        <w:drawing>
          <wp:inline distT="0" distB="0" distL="0" distR="0" wp14:anchorId="15D46263" wp14:editId="0FCF35F3">
            <wp:extent cx="1087806" cy="1112160"/>
            <wp:effectExtent l="0" t="0" r="0" b="0"/>
            <wp:docPr id="675902316" name="Picture 1" descr="A green board with sta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02316" name="Picture 1" descr="A green board with stars on it&#10;&#10;Description automatically generated"/>
                    <pic:cNvPicPr/>
                  </pic:nvPicPr>
                  <pic:blipFill>
                    <a:blip r:embed="rId15"/>
                    <a:stretch>
                      <a:fillRect/>
                    </a:stretch>
                  </pic:blipFill>
                  <pic:spPr>
                    <a:xfrm>
                      <a:off x="0" y="0"/>
                      <a:ext cx="1090274" cy="1114684"/>
                    </a:xfrm>
                    <a:prstGeom prst="rect">
                      <a:avLst/>
                    </a:prstGeom>
                  </pic:spPr>
                </pic:pic>
              </a:graphicData>
            </a:graphic>
          </wp:inline>
        </w:drawing>
      </w:r>
    </w:p>
    <w:p w14:paraId="0D646BC9" w14:textId="77777777" w:rsidR="00445BB4" w:rsidRPr="00445BB4" w:rsidRDefault="00445BB4" w:rsidP="00445BB4">
      <w:pPr>
        <w:pStyle w:val="Caption"/>
        <w:spacing w:line="480" w:lineRule="auto"/>
        <w:rPr>
          <w:rFonts w:ascii="Times New Roman" w:eastAsia="Times New Roman" w:hAnsi="Times New Roman" w:cs="Times New Roman"/>
          <w:color w:val="000000"/>
          <w:kern w:val="0"/>
          <w:sz w:val="24"/>
          <w:szCs w:val="24"/>
          <w:lang w:val="en-GB" w:eastAsia="en-GB"/>
          <w14:ligatures w14:val="none"/>
        </w:rPr>
      </w:pPr>
      <w:r w:rsidRPr="00445BB4">
        <w:rPr>
          <w:rFonts w:ascii="Times New Roman" w:hAnsi="Times New Roman" w:cs="Times New Roman"/>
          <w:sz w:val="24"/>
          <w:szCs w:val="24"/>
        </w:rPr>
        <w:t xml:space="preserve">Image </w:t>
      </w:r>
      <w:r w:rsidRPr="00445BB4">
        <w:rPr>
          <w:rFonts w:ascii="Times New Roman" w:hAnsi="Times New Roman" w:cs="Times New Roman"/>
          <w:sz w:val="24"/>
          <w:szCs w:val="24"/>
        </w:rPr>
        <w:fldChar w:fldCharType="begin"/>
      </w:r>
      <w:r w:rsidRPr="00445BB4">
        <w:rPr>
          <w:rFonts w:ascii="Times New Roman" w:hAnsi="Times New Roman" w:cs="Times New Roman"/>
          <w:sz w:val="24"/>
          <w:szCs w:val="24"/>
        </w:rPr>
        <w:instrText xml:space="preserve"> SEQ Image \* ARABIC </w:instrText>
      </w:r>
      <w:r w:rsidRPr="00445BB4">
        <w:rPr>
          <w:rFonts w:ascii="Times New Roman" w:hAnsi="Times New Roman" w:cs="Times New Roman"/>
          <w:sz w:val="24"/>
          <w:szCs w:val="24"/>
        </w:rPr>
        <w:fldChar w:fldCharType="separate"/>
      </w:r>
      <w:r w:rsidRPr="00445BB4">
        <w:rPr>
          <w:rFonts w:ascii="Times New Roman" w:hAnsi="Times New Roman" w:cs="Times New Roman"/>
          <w:noProof/>
          <w:sz w:val="24"/>
          <w:szCs w:val="24"/>
        </w:rPr>
        <w:t>1</w:t>
      </w:r>
      <w:r w:rsidRPr="00445BB4">
        <w:rPr>
          <w:rFonts w:ascii="Times New Roman" w:hAnsi="Times New Roman" w:cs="Times New Roman"/>
          <w:sz w:val="24"/>
          <w:szCs w:val="24"/>
        </w:rPr>
        <w:fldChar w:fldCharType="end"/>
      </w:r>
      <w:r w:rsidRPr="00445BB4">
        <w:rPr>
          <w:rFonts w:ascii="Times New Roman" w:hAnsi="Times New Roman" w:cs="Times New Roman"/>
          <w:sz w:val="24"/>
          <w:szCs w:val="24"/>
        </w:rPr>
        <w:t xml:space="preserve"> I would like to know more about how to empower myself – Young People’s Mural</w:t>
      </w:r>
    </w:p>
    <w:p w14:paraId="6087C0DB" w14:textId="77777777" w:rsidR="00445BB4" w:rsidRPr="00445BB4"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 xml:space="preserve">Individual reflections and the transcription of the focus group activities were analysed using Braun and Clarke’s (2022) process of thematic analysis. As an exploratory project, the intention is not to make claims about youth work and young people in Scotland. The themes, however, will serve as the basis of a future project involving youth workers and/or young people. The hope is that this article provokes some thought and discussion about current youth work practice, inviting practitioners to reflect on their own practice. </w:t>
      </w:r>
    </w:p>
    <w:p w14:paraId="52FE6C4C" w14:textId="77777777" w:rsidR="00445BB4" w:rsidRPr="00445BB4" w:rsidRDefault="00445BB4" w:rsidP="00445BB4">
      <w:pPr>
        <w:pStyle w:val="Heading3"/>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The Insights Gained</w:t>
      </w:r>
    </w:p>
    <w:p w14:paraId="058D782E" w14:textId="77777777" w:rsidR="00445BB4" w:rsidRPr="00445BB4" w:rsidRDefault="00445BB4" w:rsidP="00445BB4">
      <w:pPr>
        <w:pStyle w:val="Heading4"/>
        <w:spacing w:line="480" w:lineRule="auto"/>
        <w:jc w:val="both"/>
        <w:rPr>
          <w:rFonts w:ascii="Times New Roman" w:hAnsi="Times New Roman" w:cs="Times New Roman"/>
        </w:rPr>
      </w:pPr>
      <w:r w:rsidRPr="00445BB4">
        <w:rPr>
          <w:rFonts w:ascii="Times New Roman" w:hAnsi="Times New Roman" w:cs="Times New Roman"/>
        </w:rPr>
        <w:t>Overarching Theme From the youth perspective – The Individual Comes First</w:t>
      </w:r>
    </w:p>
    <w:p w14:paraId="1F4824A6" w14:textId="77777777" w:rsidR="00445BB4" w:rsidRPr="00445BB4"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The magic booklet provided a space for self-reflection about power, the benefits to communities, but also about what it means to feel empowered. The young people appeared to be unfamiliar with the concept of power and empowerment; however they were prompted to give examples from their day-to-day experiences within school and within the youth project. The most important thing to them is that they have opportunities for self-development, from both the Magic Booklet and Ranking exercise. It is, perhaps, not surprising as the dominant educational experience they have had is within a formal setting. As some authors note (</w:t>
      </w:r>
      <w:proofErr w:type="spellStart"/>
      <w:r w:rsidRPr="00445BB4">
        <w:rPr>
          <w:rFonts w:ascii="Times New Roman" w:hAnsi="Times New Roman" w:cs="Times New Roman"/>
          <w:sz w:val="24"/>
          <w:szCs w:val="24"/>
        </w:rPr>
        <w:t>Ciraso</w:t>
      </w:r>
      <w:proofErr w:type="spellEnd"/>
      <w:r w:rsidRPr="00445BB4">
        <w:rPr>
          <w:rFonts w:ascii="Times New Roman" w:hAnsi="Times New Roman" w:cs="Times New Roman"/>
          <w:sz w:val="24"/>
          <w:szCs w:val="24"/>
        </w:rPr>
        <w:t xml:space="preserve"> et al., 2023; </w:t>
      </w:r>
      <w:r w:rsidRPr="00445BB4">
        <w:rPr>
          <w:rFonts w:ascii="Times New Roman" w:hAnsi="Times New Roman" w:cs="Times New Roman"/>
          <w:sz w:val="24"/>
          <w:szCs w:val="24"/>
          <w:shd w:val="clear" w:color="auto" w:fill="FFFFFF"/>
        </w:rPr>
        <w:t>Sala-Torrent et al., 2024; Valdivia-</w:t>
      </w:r>
      <w:proofErr w:type="spellStart"/>
      <w:r w:rsidRPr="00445BB4">
        <w:rPr>
          <w:rFonts w:ascii="Times New Roman" w:hAnsi="Times New Roman" w:cs="Times New Roman"/>
          <w:sz w:val="24"/>
          <w:szCs w:val="24"/>
          <w:shd w:val="clear" w:color="auto" w:fill="FFFFFF"/>
        </w:rPr>
        <w:t>Vizarreta</w:t>
      </w:r>
      <w:proofErr w:type="spellEnd"/>
      <w:r w:rsidRPr="00445BB4">
        <w:rPr>
          <w:rFonts w:ascii="Times New Roman" w:hAnsi="Times New Roman" w:cs="Times New Roman"/>
          <w:sz w:val="24"/>
          <w:szCs w:val="24"/>
          <w:shd w:val="clear" w:color="auto" w:fill="FFFFFF"/>
        </w:rPr>
        <w:t xml:space="preserve"> et al.,2025)</w:t>
      </w:r>
      <w:r w:rsidRPr="00445BB4">
        <w:rPr>
          <w:rFonts w:ascii="Times New Roman" w:hAnsi="Times New Roman" w:cs="Times New Roman"/>
          <w:sz w:val="24"/>
          <w:szCs w:val="24"/>
        </w:rPr>
        <w:t xml:space="preserve">, formal educators tend to focus on individual empowerment. </w:t>
      </w:r>
    </w:p>
    <w:p w14:paraId="511D2776" w14:textId="77777777" w:rsidR="009E02E9" w:rsidRDefault="009E02E9" w:rsidP="00445BB4">
      <w:pPr>
        <w:spacing w:line="480" w:lineRule="auto"/>
        <w:jc w:val="both"/>
        <w:rPr>
          <w:rFonts w:ascii="Times New Roman" w:hAnsi="Times New Roman" w:cs="Times New Roman"/>
          <w:sz w:val="24"/>
          <w:szCs w:val="24"/>
        </w:rPr>
      </w:pPr>
    </w:p>
    <w:p w14:paraId="2DB2C707" w14:textId="052E025C" w:rsidR="00445BB4" w:rsidRPr="00445BB4"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 xml:space="preserve">Although not articulated as such, most appeared to have exercised their power and agency in some way, giving examples of young people using their voice to shape the provision within the youth project, or talking to politicians or school leaders. Only two of the groups mentioned any connection to the wider community, and this ranked low for all the youth participants. </w:t>
      </w:r>
    </w:p>
    <w:p w14:paraId="3E8A1F66" w14:textId="77777777" w:rsidR="00445BB4" w:rsidRPr="00445BB4"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 xml:space="preserve">There was a sense that youth participation projects are beneficial to young people, as noted in Ward et al. (2024), bringing improvements in mental and physical health. A specific example was the sense within the group that building connections with peers and youth workers tackles poor mental health and isolation. As </w:t>
      </w:r>
      <w:proofErr w:type="spellStart"/>
      <w:r w:rsidRPr="00445BB4">
        <w:rPr>
          <w:rFonts w:ascii="Times New Roman" w:hAnsi="Times New Roman" w:cs="Times New Roman"/>
          <w:sz w:val="24"/>
          <w:szCs w:val="24"/>
        </w:rPr>
        <w:t>Sheykhi</w:t>
      </w:r>
      <w:proofErr w:type="spellEnd"/>
      <w:r w:rsidRPr="00445BB4">
        <w:rPr>
          <w:rFonts w:ascii="Times New Roman" w:hAnsi="Times New Roman" w:cs="Times New Roman"/>
          <w:sz w:val="24"/>
          <w:szCs w:val="24"/>
        </w:rPr>
        <w:t xml:space="preserve"> (2021) notes, young people face many challenges in their day-to-day lives. Navigating these requires great effort for some young people, leaving little energy or motivation for the collective effort. Perhaps the most striking finding of all was from the Evaluation Mural, on which the young people placed stickers beside a range of sentences. There were 8 stickers beside this sentence: </w:t>
      </w:r>
      <w:r w:rsidRPr="00445BB4">
        <w:rPr>
          <w:rFonts w:ascii="Times New Roman" w:hAnsi="Times New Roman" w:cs="Times New Roman"/>
          <w:i/>
          <w:iCs/>
          <w:sz w:val="24"/>
          <w:szCs w:val="24"/>
        </w:rPr>
        <w:t xml:space="preserve">I would like to know more about how to empower myself. </w:t>
      </w:r>
      <w:r w:rsidRPr="00445BB4">
        <w:rPr>
          <w:rFonts w:ascii="Times New Roman" w:hAnsi="Times New Roman" w:cs="Times New Roman"/>
          <w:sz w:val="24"/>
          <w:szCs w:val="24"/>
        </w:rPr>
        <w:t xml:space="preserve">This relates to one point noted in the Magic Booklet ‘sometimes things are complicated and we don't know where to start’. It is, perhaps, too easy to refer to the notion of youth empowerment without explicitly exploring what this looks like for young people. </w:t>
      </w:r>
    </w:p>
    <w:p w14:paraId="53E36D50" w14:textId="77777777" w:rsidR="00445BB4" w:rsidRPr="00445BB4" w:rsidRDefault="00445BB4" w:rsidP="00445BB4">
      <w:pPr>
        <w:pStyle w:val="Heading4"/>
        <w:spacing w:line="480" w:lineRule="auto"/>
        <w:jc w:val="both"/>
        <w:rPr>
          <w:rFonts w:ascii="Times New Roman" w:hAnsi="Times New Roman" w:cs="Times New Roman"/>
        </w:rPr>
      </w:pPr>
      <w:r w:rsidRPr="00445BB4">
        <w:rPr>
          <w:rFonts w:ascii="Times New Roman" w:hAnsi="Times New Roman" w:cs="Times New Roman"/>
        </w:rPr>
        <w:t>Overarching Themes from Youth Workers’ Perspectives – Opportunities for young people to grow and develop, and Positive Relational Support</w:t>
      </w:r>
    </w:p>
    <w:p w14:paraId="4E3D3FFC" w14:textId="77777777" w:rsidR="009E02E9"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 xml:space="preserve">As a reminder, the youth workers were to answer from the perspective of young people in the Ranking exercise. In other words, they had to reflect on their conceptions (and even prejudices) that they have about the young people with whom they work. Most of the youth workers connected young people having power with volunteering, employability opportunities, and support programmes. This is reflected in the first theme that youth work provides opportunities for young people to grow and develop, resonating with the key theme from the young people’s </w:t>
      </w:r>
    </w:p>
    <w:p w14:paraId="24975C76" w14:textId="77777777" w:rsidR="009E02E9" w:rsidRDefault="009E02E9" w:rsidP="00445BB4">
      <w:pPr>
        <w:spacing w:line="480" w:lineRule="auto"/>
        <w:jc w:val="both"/>
        <w:rPr>
          <w:rFonts w:ascii="Times New Roman" w:hAnsi="Times New Roman" w:cs="Times New Roman"/>
          <w:sz w:val="24"/>
          <w:szCs w:val="24"/>
        </w:rPr>
      </w:pPr>
    </w:p>
    <w:p w14:paraId="56E5670F" w14:textId="1ECC7453" w:rsidR="00445BB4" w:rsidRPr="00445BB4"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 xml:space="preserve">focus group. It could be concluded that their youth work provision stems from seeing young people as citizens, or even adults, in training (James and McGillicuddy, 2001). There were 30 mentions by youth workers about youth empowerment connecting to volunteering and opportunities for young people to develop skills. As an informal educational context, this does not reflect the findings from </w:t>
      </w:r>
      <w:proofErr w:type="spellStart"/>
      <w:r w:rsidRPr="00445BB4">
        <w:rPr>
          <w:rFonts w:ascii="Times New Roman" w:hAnsi="Times New Roman" w:cs="Times New Roman"/>
          <w:sz w:val="24"/>
          <w:szCs w:val="24"/>
        </w:rPr>
        <w:t>Ciraso</w:t>
      </w:r>
      <w:proofErr w:type="spellEnd"/>
      <w:r w:rsidRPr="00445BB4">
        <w:rPr>
          <w:rFonts w:ascii="Times New Roman" w:hAnsi="Times New Roman" w:cs="Times New Roman"/>
          <w:sz w:val="24"/>
          <w:szCs w:val="24"/>
        </w:rPr>
        <w:t xml:space="preserve"> et </w:t>
      </w:r>
      <w:proofErr w:type="spellStart"/>
      <w:r w:rsidRPr="00445BB4">
        <w:rPr>
          <w:rFonts w:ascii="Times New Roman" w:hAnsi="Times New Roman" w:cs="Times New Roman"/>
          <w:sz w:val="24"/>
          <w:szCs w:val="24"/>
        </w:rPr>
        <w:t>al’s</w:t>
      </w:r>
      <w:proofErr w:type="spellEnd"/>
      <w:r w:rsidRPr="00445BB4">
        <w:rPr>
          <w:rFonts w:ascii="Times New Roman" w:hAnsi="Times New Roman" w:cs="Times New Roman"/>
          <w:sz w:val="24"/>
          <w:szCs w:val="24"/>
        </w:rPr>
        <w:t>. (2023) study, who noted that informal educators tend towards community empowerment.</w:t>
      </w:r>
    </w:p>
    <w:p w14:paraId="39AF91DA" w14:textId="77777777" w:rsidR="00445BB4" w:rsidRPr="00445BB4"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The second theme, ‘Positive Relational Support’, relates to the perception that building connections through youth work can lead to benefits for young people. This</w:t>
      </w:r>
    </w:p>
    <w:p w14:paraId="1F7B2526" w14:textId="77777777" w:rsidR="00445BB4" w:rsidRPr="00445BB4"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 xml:space="preserve">connects to Sheridan’s (2018) emphasis on creating the right space in which positive relationships can grow. Young people thrive in environments where respect, recognition, and a sense of welcome are present. However, barriers such as low self-esteem, a lack of role models, and inadequate support systems can hinder their empowerment. This reflects the point from the focus group with young people, that ‘young people sometimes feel anxious, even to ask for help’. Of note, there were 3 mentions that young people are not trusted, which may correlate with the two youth workers who did not participate in the ranking exercise as they felt young people would not be concerned about the dimensions of youth empowerment. </w:t>
      </w:r>
    </w:p>
    <w:p w14:paraId="524CEB2F" w14:textId="77777777" w:rsidR="00445BB4" w:rsidRPr="00445BB4" w:rsidRDefault="00445BB4" w:rsidP="00445BB4">
      <w:pPr>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 xml:space="preserve">The predominant view from youth workers is that the youth project is actively promoting youth empowerment by providing a wide range of activities, training, and volunteering opportunities. However, 10 of the 15 youth workers noted that they do not think that young people think about their own empowerment. </w:t>
      </w:r>
    </w:p>
    <w:p w14:paraId="1713A4E4" w14:textId="77777777" w:rsidR="009E02E9" w:rsidRDefault="009E02E9" w:rsidP="00445BB4">
      <w:pPr>
        <w:pStyle w:val="Heading3"/>
        <w:spacing w:line="480" w:lineRule="auto"/>
        <w:jc w:val="both"/>
        <w:rPr>
          <w:rFonts w:ascii="Times New Roman" w:hAnsi="Times New Roman" w:cs="Times New Roman"/>
          <w:sz w:val="24"/>
          <w:szCs w:val="24"/>
        </w:rPr>
      </w:pPr>
    </w:p>
    <w:p w14:paraId="6BE755BE" w14:textId="5DC2D935" w:rsidR="00445BB4" w:rsidRPr="00445BB4" w:rsidRDefault="00445BB4" w:rsidP="00445BB4">
      <w:pPr>
        <w:pStyle w:val="Heading3"/>
        <w:spacing w:line="480" w:lineRule="auto"/>
        <w:jc w:val="both"/>
        <w:rPr>
          <w:rFonts w:ascii="Times New Roman" w:hAnsi="Times New Roman" w:cs="Times New Roman"/>
          <w:sz w:val="24"/>
          <w:szCs w:val="24"/>
        </w:rPr>
      </w:pPr>
      <w:r w:rsidRPr="00445BB4">
        <w:rPr>
          <w:rFonts w:ascii="Times New Roman" w:hAnsi="Times New Roman" w:cs="Times New Roman"/>
          <w:sz w:val="24"/>
          <w:szCs w:val="24"/>
        </w:rPr>
        <w:t>Final thoughts</w:t>
      </w:r>
    </w:p>
    <w:p w14:paraId="24D15AE7" w14:textId="77777777" w:rsidR="00445BB4" w:rsidRPr="00445BB4" w:rsidRDefault="00445BB4" w:rsidP="00445BB4">
      <w:pPr>
        <w:pStyle w:val="Heading4"/>
        <w:spacing w:line="480" w:lineRule="auto"/>
        <w:jc w:val="both"/>
        <w:rPr>
          <w:rFonts w:ascii="Times New Roman" w:hAnsi="Times New Roman" w:cs="Times New Roman"/>
        </w:rPr>
      </w:pPr>
      <w:r w:rsidRPr="00445BB4">
        <w:rPr>
          <w:rFonts w:ascii="Times New Roman" w:hAnsi="Times New Roman" w:cs="Times New Roman"/>
        </w:rPr>
        <w:t>The relevance of youth workers regarding youth empowerment and one concern</w:t>
      </w:r>
    </w:p>
    <w:p w14:paraId="0E991395" w14:textId="77777777" w:rsidR="00445BB4" w:rsidRPr="00445BB4" w:rsidRDefault="00445BB4" w:rsidP="00445BB4">
      <w:pPr>
        <w:spacing w:before="120" w:after="120" w:line="480" w:lineRule="auto"/>
        <w:jc w:val="both"/>
        <w:rPr>
          <w:rFonts w:ascii="Times New Roman" w:hAnsi="Times New Roman" w:cs="Times New Roman"/>
          <w:sz w:val="24"/>
          <w:szCs w:val="24"/>
          <w:shd w:val="clear" w:color="auto" w:fill="FFFFFF"/>
          <w:lang w:val="en-IE"/>
        </w:rPr>
      </w:pPr>
      <w:r w:rsidRPr="00445BB4">
        <w:rPr>
          <w:rFonts w:ascii="Times New Roman" w:hAnsi="Times New Roman" w:cs="Times New Roman"/>
          <w:sz w:val="24"/>
          <w:szCs w:val="24"/>
          <w:shd w:val="clear" w:color="auto" w:fill="FFFFFF"/>
          <w:lang w:val="en-IE"/>
        </w:rPr>
        <w:t>Youth workers play a critical role in constructing empowerment processes through their professional practices and the meanings they attribute to empowerment (Valdivia-</w:t>
      </w:r>
      <w:proofErr w:type="spellStart"/>
      <w:r w:rsidRPr="00445BB4">
        <w:rPr>
          <w:rFonts w:ascii="Times New Roman" w:hAnsi="Times New Roman" w:cs="Times New Roman"/>
          <w:sz w:val="24"/>
          <w:szCs w:val="24"/>
          <w:shd w:val="clear" w:color="auto" w:fill="FFFFFF"/>
          <w:lang w:val="en-IE"/>
        </w:rPr>
        <w:t>Vizarreta</w:t>
      </w:r>
      <w:proofErr w:type="spellEnd"/>
      <w:r w:rsidRPr="00445BB4">
        <w:rPr>
          <w:rFonts w:ascii="Times New Roman" w:hAnsi="Times New Roman" w:cs="Times New Roman"/>
          <w:sz w:val="24"/>
          <w:szCs w:val="24"/>
          <w:shd w:val="clear" w:color="auto" w:fill="FFFFFF"/>
          <w:lang w:val="en-IE"/>
        </w:rPr>
        <w:t xml:space="preserve"> et al., 2025). As Ord (2007) noted, youth work must go beyond the teaching of functional skills by enhancing young people’s capacity for action within their communities. In this sense, youth work has historically been associated not only with individual development, but also with collective transformation and social change.</w:t>
      </w:r>
    </w:p>
    <w:p w14:paraId="2190EF6E" w14:textId="77777777" w:rsidR="00445BB4" w:rsidRPr="00445BB4" w:rsidRDefault="00445BB4" w:rsidP="00445BB4">
      <w:pPr>
        <w:spacing w:before="120" w:after="120" w:line="480" w:lineRule="auto"/>
        <w:jc w:val="both"/>
        <w:rPr>
          <w:rFonts w:ascii="Times New Roman" w:hAnsi="Times New Roman" w:cs="Times New Roman"/>
          <w:sz w:val="24"/>
          <w:szCs w:val="24"/>
          <w:shd w:val="clear" w:color="auto" w:fill="FFFFFF"/>
          <w:lang w:val="en-IE"/>
        </w:rPr>
      </w:pPr>
      <w:r w:rsidRPr="00445BB4">
        <w:rPr>
          <w:rFonts w:ascii="Times New Roman" w:hAnsi="Times New Roman" w:cs="Times New Roman"/>
          <w:sz w:val="24"/>
          <w:szCs w:val="24"/>
          <w:shd w:val="clear" w:color="auto" w:fill="FFFFFF"/>
          <w:lang w:val="en-IE"/>
        </w:rPr>
        <w:t>However, this article raises a significant concern. Although youth work in Scotland continues to provide important support for young people’s personal development and transformation, this does not necessarily translate into wider processes of community action or structural change. Despite the strong radical tradition of youth work grounded in Freirean critical pedagogy and collective transformation (Coburn, 2010), recent research suggests that contemporary youth work increasingly prioritises individual transformation over collective empowerment (Sala-Torrent et al., 2024; Valdivia-</w:t>
      </w:r>
      <w:proofErr w:type="spellStart"/>
      <w:r w:rsidRPr="00445BB4">
        <w:rPr>
          <w:rFonts w:ascii="Times New Roman" w:hAnsi="Times New Roman" w:cs="Times New Roman"/>
          <w:sz w:val="24"/>
          <w:szCs w:val="24"/>
          <w:shd w:val="clear" w:color="auto" w:fill="FFFFFF"/>
          <w:lang w:val="en-IE"/>
        </w:rPr>
        <w:t>Vizarreta</w:t>
      </w:r>
      <w:proofErr w:type="spellEnd"/>
      <w:r w:rsidRPr="00445BB4">
        <w:rPr>
          <w:rFonts w:ascii="Times New Roman" w:hAnsi="Times New Roman" w:cs="Times New Roman"/>
          <w:sz w:val="24"/>
          <w:szCs w:val="24"/>
          <w:shd w:val="clear" w:color="auto" w:fill="FFFFFF"/>
          <w:lang w:val="en-IE"/>
        </w:rPr>
        <w:t xml:space="preserve"> et al., 2025; </w:t>
      </w:r>
      <w:proofErr w:type="spellStart"/>
      <w:r w:rsidRPr="00445BB4">
        <w:rPr>
          <w:rFonts w:ascii="Times New Roman" w:hAnsi="Times New Roman" w:cs="Times New Roman"/>
          <w:sz w:val="24"/>
          <w:szCs w:val="24"/>
          <w:shd w:val="clear" w:color="auto" w:fill="FFFFFF"/>
          <w:lang w:val="en-IE"/>
        </w:rPr>
        <w:t>Ciraso</w:t>
      </w:r>
      <w:proofErr w:type="spellEnd"/>
      <w:r w:rsidRPr="00445BB4">
        <w:rPr>
          <w:rFonts w:ascii="Times New Roman" w:hAnsi="Times New Roman" w:cs="Times New Roman"/>
          <w:sz w:val="24"/>
          <w:szCs w:val="24"/>
          <w:shd w:val="clear" w:color="auto" w:fill="FFFFFF"/>
          <w:lang w:val="en-IE"/>
        </w:rPr>
        <w:t>-Calí et al., 2023), including within the Scottish context (Ward et al., 2024).</w:t>
      </w:r>
    </w:p>
    <w:p w14:paraId="503E208F" w14:textId="77777777" w:rsidR="00445BB4" w:rsidRPr="00445BB4" w:rsidRDefault="00445BB4" w:rsidP="00445BB4">
      <w:pPr>
        <w:pStyle w:val="Heading4"/>
        <w:spacing w:line="480" w:lineRule="auto"/>
        <w:jc w:val="both"/>
        <w:rPr>
          <w:rFonts w:ascii="Times New Roman" w:hAnsi="Times New Roman" w:cs="Times New Roman"/>
        </w:rPr>
      </w:pPr>
      <w:r w:rsidRPr="00445BB4">
        <w:rPr>
          <w:rFonts w:ascii="Times New Roman" w:hAnsi="Times New Roman" w:cs="Times New Roman"/>
        </w:rPr>
        <w:t>The individual dimensions come first</w:t>
      </w:r>
    </w:p>
    <w:p w14:paraId="7A73E05E" w14:textId="77777777" w:rsidR="00445BB4" w:rsidRPr="00445BB4" w:rsidRDefault="00445BB4" w:rsidP="00445BB4">
      <w:pPr>
        <w:spacing w:before="120" w:after="120" w:line="480" w:lineRule="auto"/>
        <w:jc w:val="both"/>
        <w:rPr>
          <w:rFonts w:ascii="Times New Roman" w:hAnsi="Times New Roman" w:cs="Times New Roman"/>
          <w:sz w:val="24"/>
          <w:szCs w:val="24"/>
          <w:shd w:val="clear" w:color="auto" w:fill="FFFFFF"/>
          <w:lang w:val="en-IE"/>
        </w:rPr>
      </w:pPr>
      <w:r w:rsidRPr="00445BB4">
        <w:rPr>
          <w:rFonts w:ascii="Times New Roman" w:hAnsi="Times New Roman" w:cs="Times New Roman"/>
          <w:sz w:val="24"/>
          <w:szCs w:val="24"/>
          <w:shd w:val="clear" w:color="auto" w:fill="FFFFFF"/>
          <w:lang w:val="en-IE"/>
        </w:rPr>
        <w:t xml:space="preserve">The findings from these workshops suggest that youth workers tend to prioritise the individual dimensions of empowerment over collective and community-oriented aspects. In many cases, empowerment was framed in terms of self-sufficiency, responsibility, autonomy, and personal development, while collective dimensions appeared less present in the programmes described by participants. </w:t>
      </w:r>
    </w:p>
    <w:p w14:paraId="6CF170B8" w14:textId="77777777" w:rsidR="009E02E9" w:rsidRDefault="009E02E9" w:rsidP="00445BB4">
      <w:pPr>
        <w:spacing w:before="120" w:after="120" w:line="480" w:lineRule="auto"/>
        <w:jc w:val="both"/>
        <w:rPr>
          <w:rFonts w:ascii="Times New Roman" w:hAnsi="Times New Roman" w:cs="Times New Roman"/>
          <w:sz w:val="24"/>
          <w:szCs w:val="24"/>
          <w:shd w:val="clear" w:color="auto" w:fill="FFFFFF"/>
          <w:lang w:val="en-IE"/>
        </w:rPr>
      </w:pPr>
    </w:p>
    <w:p w14:paraId="4A736EDC" w14:textId="67A9821D" w:rsidR="00445BB4" w:rsidRPr="00445BB4" w:rsidRDefault="00445BB4" w:rsidP="00445BB4">
      <w:pPr>
        <w:spacing w:before="120" w:after="120" w:line="480" w:lineRule="auto"/>
        <w:jc w:val="both"/>
        <w:rPr>
          <w:rFonts w:ascii="Times New Roman" w:hAnsi="Times New Roman" w:cs="Times New Roman"/>
          <w:sz w:val="24"/>
          <w:szCs w:val="24"/>
          <w:shd w:val="clear" w:color="auto" w:fill="FFFFFF"/>
          <w:lang w:val="en-IE"/>
        </w:rPr>
      </w:pPr>
      <w:r w:rsidRPr="00445BB4">
        <w:rPr>
          <w:rFonts w:ascii="Times New Roman" w:hAnsi="Times New Roman" w:cs="Times New Roman"/>
          <w:sz w:val="24"/>
          <w:szCs w:val="24"/>
          <w:shd w:val="clear" w:color="auto" w:fill="FFFFFF"/>
          <w:lang w:val="en-IE"/>
        </w:rPr>
        <w:t>However, focusing predominantly on individual responsibility risks reproducing neoliberal logics that overlook the social, economic, and political conditions constraining participation. From this perspective, empowerment becomes associated with adaptation and personal resilience rather than collective action or structural transformation. Drawing on Giroux’s (2024) framework, critical pedagogy offers an alternative approach by repositioning empowerment within broader struggles for social justice and the transformation of unequal power relations.</w:t>
      </w:r>
    </w:p>
    <w:p w14:paraId="4970B960" w14:textId="77777777" w:rsidR="00445BB4" w:rsidRPr="00445BB4" w:rsidRDefault="00445BB4" w:rsidP="00445BB4">
      <w:pPr>
        <w:spacing w:before="120" w:after="120" w:line="480" w:lineRule="auto"/>
        <w:jc w:val="both"/>
        <w:rPr>
          <w:rFonts w:ascii="Times New Roman" w:hAnsi="Times New Roman" w:cs="Times New Roman"/>
          <w:sz w:val="24"/>
          <w:szCs w:val="24"/>
          <w:shd w:val="clear" w:color="auto" w:fill="FFFFFF"/>
          <w:lang w:val="en-IE"/>
        </w:rPr>
      </w:pPr>
      <w:r w:rsidRPr="00445BB4">
        <w:rPr>
          <w:rFonts w:ascii="Times New Roman" w:hAnsi="Times New Roman" w:cs="Times New Roman"/>
          <w:sz w:val="24"/>
          <w:szCs w:val="24"/>
          <w:shd w:val="clear" w:color="auto" w:fill="FFFFFF"/>
        </w:rPr>
        <w:t>From this perspective, empowerment should not be understood as a purely individual attitude or competency, but as a situated individual and collective action aimed at transforming one’s environment. Empowerment depends not only on young people’s willingness or abilities, but also on the structural conditions, opportunities, and spaces available to them (Morcillo, 2026)</w:t>
      </w:r>
    </w:p>
    <w:p w14:paraId="04846E59" w14:textId="77777777" w:rsidR="00445BB4" w:rsidRPr="00445BB4" w:rsidRDefault="00445BB4" w:rsidP="00445BB4">
      <w:pPr>
        <w:pStyle w:val="Heading4"/>
        <w:spacing w:line="480" w:lineRule="auto"/>
        <w:jc w:val="both"/>
        <w:rPr>
          <w:rFonts w:ascii="Times New Roman" w:hAnsi="Times New Roman" w:cs="Times New Roman"/>
        </w:rPr>
      </w:pPr>
      <w:r w:rsidRPr="00445BB4">
        <w:rPr>
          <w:rFonts w:ascii="Times New Roman" w:hAnsi="Times New Roman" w:cs="Times New Roman"/>
        </w:rPr>
        <w:t>How can youth workers shift these inequalities?</w:t>
      </w:r>
    </w:p>
    <w:p w14:paraId="6789F0F8" w14:textId="77777777" w:rsidR="00445BB4" w:rsidRPr="00445BB4" w:rsidRDefault="00445BB4" w:rsidP="00445BB4">
      <w:pPr>
        <w:spacing w:before="120" w:after="120" w:line="480" w:lineRule="auto"/>
        <w:jc w:val="both"/>
        <w:rPr>
          <w:rFonts w:ascii="Times New Roman" w:hAnsi="Times New Roman" w:cs="Times New Roman"/>
          <w:sz w:val="24"/>
          <w:szCs w:val="24"/>
          <w:shd w:val="clear" w:color="auto" w:fill="FFFFFF"/>
          <w:lang w:val="en-IE"/>
        </w:rPr>
      </w:pPr>
      <w:r w:rsidRPr="00445BB4">
        <w:rPr>
          <w:rFonts w:ascii="Times New Roman" w:hAnsi="Times New Roman" w:cs="Times New Roman"/>
          <w:sz w:val="24"/>
          <w:szCs w:val="24"/>
          <w:shd w:val="clear" w:color="auto" w:fill="FFFFFF"/>
        </w:rPr>
        <w:t xml:space="preserve">Despite the meaningful support provided by educators, the findings suggest that youth workers may also reproduce adult-centric discourses and practices that constrain young people’s active participation in decision-making processes. This highlights an important tension within youth work practice, where support and empowerment can coexist with forms of control and unequal power relations. As Corney et al. (2022) argue, </w:t>
      </w:r>
      <w:proofErr w:type="spellStart"/>
      <w:r w:rsidRPr="00445BB4">
        <w:rPr>
          <w:rFonts w:ascii="Times New Roman" w:hAnsi="Times New Roman" w:cs="Times New Roman"/>
          <w:sz w:val="24"/>
          <w:szCs w:val="24"/>
          <w:shd w:val="clear" w:color="auto" w:fill="FFFFFF"/>
        </w:rPr>
        <w:t>adultcentrism</w:t>
      </w:r>
      <w:proofErr w:type="spellEnd"/>
      <w:r w:rsidRPr="00445BB4">
        <w:rPr>
          <w:rFonts w:ascii="Times New Roman" w:hAnsi="Times New Roman" w:cs="Times New Roman"/>
          <w:sz w:val="24"/>
          <w:szCs w:val="24"/>
          <w:shd w:val="clear" w:color="auto" w:fill="FFFFFF"/>
        </w:rPr>
        <w:t xml:space="preserve"> operates as a system of domination that privileges adult perspectives, limits young people’s autonomy and participation, and particularly affects those already experiencing social disadvantage. In this context, youth workers may unintentionally reinforce these dynamics when young people’s voices, capacities, or forms of participation are subordinated to adult expectations and institutional norms.</w:t>
      </w:r>
    </w:p>
    <w:p w14:paraId="53F981E8" w14:textId="77777777" w:rsidR="009E02E9" w:rsidRDefault="009E02E9" w:rsidP="00445BB4">
      <w:pPr>
        <w:spacing w:before="120" w:after="120" w:line="480" w:lineRule="auto"/>
        <w:jc w:val="both"/>
        <w:rPr>
          <w:rFonts w:ascii="Times New Roman" w:hAnsi="Times New Roman" w:cs="Times New Roman"/>
          <w:sz w:val="24"/>
          <w:szCs w:val="24"/>
          <w:shd w:val="clear" w:color="auto" w:fill="FFFFFF"/>
          <w:lang w:val="en-IE"/>
        </w:rPr>
      </w:pPr>
    </w:p>
    <w:p w14:paraId="31EE537B" w14:textId="057E290D" w:rsidR="00445BB4" w:rsidRPr="00445BB4" w:rsidRDefault="00445BB4" w:rsidP="00445BB4">
      <w:pPr>
        <w:spacing w:before="120" w:after="120" w:line="480" w:lineRule="auto"/>
        <w:jc w:val="both"/>
        <w:rPr>
          <w:rFonts w:ascii="Times New Roman" w:hAnsi="Times New Roman" w:cs="Times New Roman"/>
          <w:sz w:val="24"/>
          <w:szCs w:val="24"/>
          <w:shd w:val="clear" w:color="auto" w:fill="FFFFFF"/>
          <w:lang w:val="en-IE"/>
        </w:rPr>
      </w:pPr>
      <w:r w:rsidRPr="00445BB4">
        <w:rPr>
          <w:rFonts w:ascii="Times New Roman" w:hAnsi="Times New Roman" w:cs="Times New Roman"/>
          <w:sz w:val="24"/>
          <w:szCs w:val="24"/>
          <w:shd w:val="clear" w:color="auto" w:fill="FFFFFF"/>
          <w:lang w:val="en-IE"/>
        </w:rPr>
        <w:t xml:space="preserve">In this context, socio-educational support can play an important role in mitigating inequalities. Trull et al. (2025) found that young people identify youth workers and community resources as facilitators of participation and integration processes. Likewise, Kohler Gonzalez and de Fátima </w:t>
      </w:r>
      <w:proofErr w:type="spellStart"/>
      <w:r w:rsidRPr="00445BB4">
        <w:rPr>
          <w:rFonts w:ascii="Times New Roman" w:hAnsi="Times New Roman" w:cs="Times New Roman"/>
          <w:sz w:val="24"/>
          <w:szCs w:val="24"/>
          <w:shd w:val="clear" w:color="auto" w:fill="FFFFFF"/>
          <w:lang w:val="en-IE"/>
        </w:rPr>
        <w:t>Guareschi</w:t>
      </w:r>
      <w:proofErr w:type="spellEnd"/>
      <w:r w:rsidRPr="00445BB4">
        <w:rPr>
          <w:rFonts w:ascii="Times New Roman" w:hAnsi="Times New Roman" w:cs="Times New Roman"/>
          <w:sz w:val="24"/>
          <w:szCs w:val="24"/>
          <w:shd w:val="clear" w:color="auto" w:fill="FFFFFF"/>
          <w:lang w:val="en-IE"/>
        </w:rPr>
        <w:t xml:space="preserve"> (2009) showed that young people participate less fully in community projects when their power to make decisions is restricted. These findings reinforce the importance of relational support based on connectedness, horizontality, safe spaces, and meaningful participation.</w:t>
      </w:r>
      <w:r w:rsidRPr="00445BB4">
        <w:rPr>
          <w:rFonts w:ascii="Times New Roman" w:hAnsi="Times New Roman" w:cs="Times New Roman"/>
          <w:sz w:val="24"/>
          <w:szCs w:val="24"/>
        </w:rPr>
        <w:t xml:space="preserve"> </w:t>
      </w:r>
      <w:r w:rsidRPr="00445BB4">
        <w:rPr>
          <w:rFonts w:ascii="Times New Roman" w:hAnsi="Times New Roman" w:cs="Times New Roman"/>
          <w:sz w:val="24"/>
          <w:szCs w:val="24"/>
          <w:shd w:val="clear" w:color="auto" w:fill="FFFFFF"/>
        </w:rPr>
        <w:t xml:space="preserve">At the same time, the findings suggest the need to move beyond individualised approaches towards a stronger sense of community and mutual support. While individualism may weaken social ties and feelings of belonging, community spaces can foster recognition, hope, care, and collective engagement (Morcillo, 2026). </w:t>
      </w:r>
    </w:p>
    <w:p w14:paraId="1F05530D" w14:textId="77777777" w:rsidR="00445BB4" w:rsidRPr="00445BB4" w:rsidRDefault="00445BB4" w:rsidP="00445BB4">
      <w:pPr>
        <w:spacing w:before="120" w:after="120" w:line="480" w:lineRule="auto"/>
        <w:jc w:val="both"/>
        <w:rPr>
          <w:rFonts w:ascii="Times New Roman" w:hAnsi="Times New Roman" w:cs="Times New Roman"/>
          <w:sz w:val="24"/>
          <w:szCs w:val="24"/>
          <w:shd w:val="clear" w:color="auto" w:fill="FFFFFF"/>
          <w:lang w:val="en-IE"/>
        </w:rPr>
      </w:pPr>
      <w:r w:rsidRPr="00445BB4">
        <w:rPr>
          <w:rFonts w:ascii="Times New Roman" w:hAnsi="Times New Roman" w:cs="Times New Roman"/>
          <w:sz w:val="24"/>
          <w:szCs w:val="24"/>
          <w:shd w:val="clear" w:color="auto" w:fill="FFFFFF"/>
          <w:lang w:val="en-IE"/>
        </w:rPr>
        <w:t>Valdivia-</w:t>
      </w:r>
      <w:proofErr w:type="spellStart"/>
      <w:r w:rsidRPr="00445BB4">
        <w:rPr>
          <w:rFonts w:ascii="Times New Roman" w:hAnsi="Times New Roman" w:cs="Times New Roman"/>
          <w:sz w:val="24"/>
          <w:szCs w:val="24"/>
          <w:shd w:val="clear" w:color="auto" w:fill="FFFFFF"/>
          <w:lang w:val="en-IE"/>
        </w:rPr>
        <w:t>Vizarreta</w:t>
      </w:r>
      <w:proofErr w:type="spellEnd"/>
      <w:r w:rsidRPr="00445BB4">
        <w:rPr>
          <w:rFonts w:ascii="Times New Roman" w:hAnsi="Times New Roman" w:cs="Times New Roman"/>
          <w:sz w:val="24"/>
          <w:szCs w:val="24"/>
          <w:shd w:val="clear" w:color="auto" w:fill="FFFFFF"/>
          <w:lang w:val="en-IE"/>
        </w:rPr>
        <w:t xml:space="preserve"> et al. (2025) further argue that educators should prioritise accompaniment and proximity while also promoting reflective spaces regarding professional practice. However, an important challenge emerges when many youth workers are unqualified sessional staff or volunteers who have not yet accessed professional training. This becomes particularly relevant in relation to what </w:t>
      </w:r>
      <w:proofErr w:type="spellStart"/>
      <w:r w:rsidRPr="00445BB4">
        <w:rPr>
          <w:rFonts w:ascii="Times New Roman" w:hAnsi="Times New Roman" w:cs="Times New Roman"/>
          <w:sz w:val="24"/>
          <w:szCs w:val="24"/>
          <w:shd w:val="clear" w:color="auto" w:fill="FFFFFF"/>
          <w:lang w:val="en-IE"/>
        </w:rPr>
        <w:t>Crouzé</w:t>
      </w:r>
      <w:proofErr w:type="spellEnd"/>
      <w:r w:rsidRPr="00445BB4">
        <w:rPr>
          <w:rFonts w:ascii="Times New Roman" w:hAnsi="Times New Roman" w:cs="Times New Roman"/>
          <w:sz w:val="24"/>
          <w:szCs w:val="24"/>
          <w:shd w:val="clear" w:color="auto" w:fill="FFFFFF"/>
          <w:lang w:val="en-IE"/>
        </w:rPr>
        <w:t xml:space="preserve"> et al. (2022) describe as the “civic empowerment gap”, whereby minorities, immigrants, and socioeconomically disadvantaged groups tend to participate less in civic life than dominant groups. In this context, youth work can become instrumentalised as a mechanism for integrating socially excluded young people into existing social orders, reproducing disciplinary and adult-centric models.</w:t>
      </w:r>
    </w:p>
    <w:p w14:paraId="70793479" w14:textId="77777777" w:rsidR="009E02E9" w:rsidRDefault="00445BB4" w:rsidP="00445BB4">
      <w:pPr>
        <w:spacing w:before="120" w:after="120" w:line="480" w:lineRule="auto"/>
        <w:jc w:val="both"/>
        <w:rPr>
          <w:rFonts w:ascii="Times New Roman" w:hAnsi="Times New Roman" w:cs="Times New Roman"/>
          <w:sz w:val="24"/>
          <w:szCs w:val="24"/>
          <w:shd w:val="clear" w:color="auto" w:fill="FFFFFF"/>
          <w:lang w:val="en-IE"/>
        </w:rPr>
      </w:pPr>
      <w:r w:rsidRPr="00445BB4">
        <w:rPr>
          <w:rFonts w:ascii="Times New Roman" w:hAnsi="Times New Roman" w:cs="Times New Roman"/>
          <w:sz w:val="24"/>
          <w:szCs w:val="24"/>
          <w:shd w:val="clear" w:color="auto" w:fill="FFFFFF"/>
          <w:lang w:val="en-IE"/>
        </w:rPr>
        <w:t xml:space="preserve">As the authors argue, youth workers are often positioned within a contradictory role: maintaining existing social structures while simultaneously supporting possibilities for individual and collective emancipation. </w:t>
      </w:r>
      <w:proofErr w:type="spellStart"/>
      <w:r w:rsidRPr="00445BB4">
        <w:rPr>
          <w:rFonts w:ascii="Times New Roman" w:hAnsi="Times New Roman" w:cs="Times New Roman"/>
          <w:sz w:val="24"/>
          <w:szCs w:val="24"/>
          <w:shd w:val="clear" w:color="auto" w:fill="FFFFFF"/>
          <w:lang w:val="en-US"/>
        </w:rPr>
        <w:t>Ciraso</w:t>
      </w:r>
      <w:proofErr w:type="spellEnd"/>
      <w:r w:rsidRPr="00445BB4">
        <w:rPr>
          <w:rFonts w:ascii="Times New Roman" w:hAnsi="Times New Roman" w:cs="Times New Roman"/>
          <w:sz w:val="24"/>
          <w:szCs w:val="24"/>
          <w:shd w:val="clear" w:color="auto" w:fill="FFFFFF"/>
          <w:lang w:val="en-US"/>
        </w:rPr>
        <w:t xml:space="preserve">-Calí et al. </w:t>
      </w:r>
      <w:r w:rsidRPr="00445BB4">
        <w:rPr>
          <w:rFonts w:ascii="Times New Roman" w:hAnsi="Times New Roman" w:cs="Times New Roman"/>
          <w:sz w:val="24"/>
          <w:szCs w:val="24"/>
          <w:shd w:val="clear" w:color="auto" w:fill="FFFFFF"/>
          <w:lang w:val="en-IE"/>
        </w:rPr>
        <w:t xml:space="preserve">(2023) found that informal educators tend to focus more on community empowerment, whereas formal educators prioritise </w:t>
      </w:r>
    </w:p>
    <w:p w14:paraId="28082695" w14:textId="77777777" w:rsidR="009E02E9" w:rsidRDefault="009E02E9" w:rsidP="00445BB4">
      <w:pPr>
        <w:spacing w:before="120" w:after="120" w:line="480" w:lineRule="auto"/>
        <w:jc w:val="both"/>
        <w:rPr>
          <w:rFonts w:ascii="Times New Roman" w:hAnsi="Times New Roman" w:cs="Times New Roman"/>
          <w:sz w:val="24"/>
          <w:szCs w:val="24"/>
          <w:shd w:val="clear" w:color="auto" w:fill="FFFFFF"/>
          <w:lang w:val="en-IE"/>
        </w:rPr>
      </w:pPr>
    </w:p>
    <w:p w14:paraId="2A4FEA7F" w14:textId="74DEF273" w:rsidR="00445BB4" w:rsidRPr="00445BB4" w:rsidRDefault="00445BB4" w:rsidP="00445BB4">
      <w:pPr>
        <w:spacing w:before="120" w:after="120" w:line="480" w:lineRule="auto"/>
        <w:jc w:val="both"/>
        <w:rPr>
          <w:rFonts w:ascii="Times New Roman" w:hAnsi="Times New Roman" w:cs="Times New Roman"/>
          <w:sz w:val="24"/>
          <w:szCs w:val="24"/>
          <w:shd w:val="clear" w:color="auto" w:fill="FFFFFF"/>
          <w:lang w:val="en-IE"/>
        </w:rPr>
      </w:pPr>
      <w:r w:rsidRPr="00445BB4">
        <w:rPr>
          <w:rFonts w:ascii="Times New Roman" w:hAnsi="Times New Roman" w:cs="Times New Roman"/>
          <w:sz w:val="24"/>
          <w:szCs w:val="24"/>
          <w:shd w:val="clear" w:color="auto" w:fill="FFFFFF"/>
          <w:lang w:val="en-IE"/>
        </w:rPr>
        <w:t>individual empowerment or individual development alone. This may suggest that the predominance of individual development within many youth projects reflects not only institutional pressures, but also limited understandings of what collective youth empowerment involves.</w:t>
      </w:r>
    </w:p>
    <w:p w14:paraId="56E3DCA2" w14:textId="77777777" w:rsidR="00445BB4" w:rsidRPr="00445BB4" w:rsidRDefault="00445BB4" w:rsidP="00445BB4">
      <w:pPr>
        <w:spacing w:before="120" w:after="120" w:line="480" w:lineRule="auto"/>
        <w:jc w:val="both"/>
        <w:rPr>
          <w:rFonts w:ascii="Times New Roman" w:hAnsi="Times New Roman" w:cs="Times New Roman"/>
          <w:sz w:val="24"/>
          <w:szCs w:val="24"/>
          <w:shd w:val="clear" w:color="auto" w:fill="FFFFFF"/>
        </w:rPr>
      </w:pPr>
      <w:r w:rsidRPr="00445BB4">
        <w:rPr>
          <w:rFonts w:ascii="Times New Roman" w:hAnsi="Times New Roman" w:cs="Times New Roman"/>
          <w:sz w:val="24"/>
          <w:szCs w:val="24"/>
          <w:shd w:val="clear" w:color="auto" w:fill="FFFFFF"/>
        </w:rPr>
        <w:t xml:space="preserve">Overall, these findings reinforce the need to understand socio-educational action as a critical and emancipatory practice that goes beyond promoting the adaptation of young people to existing social structures. In this regard, youth workers should not only support individual </w:t>
      </w:r>
      <w:proofErr w:type="gramStart"/>
      <w:r w:rsidRPr="00445BB4">
        <w:rPr>
          <w:rFonts w:ascii="Times New Roman" w:hAnsi="Times New Roman" w:cs="Times New Roman"/>
          <w:sz w:val="24"/>
          <w:szCs w:val="24"/>
          <w:shd w:val="clear" w:color="auto" w:fill="FFFFFF"/>
        </w:rPr>
        <w:t>development, but</w:t>
      </w:r>
      <w:proofErr w:type="gramEnd"/>
      <w:r w:rsidRPr="00445BB4">
        <w:rPr>
          <w:rFonts w:ascii="Times New Roman" w:hAnsi="Times New Roman" w:cs="Times New Roman"/>
          <w:sz w:val="24"/>
          <w:szCs w:val="24"/>
          <w:shd w:val="clear" w:color="auto" w:fill="FFFFFF"/>
        </w:rPr>
        <w:t xml:space="preserve"> also act as agents of change capable of strengthening collective participation, questioning unequal power relations, and building bridges between young people, communities, and institutions (Morcillo, 2026). This requires stable socio-educational teams, reflective professional practices, and governance models based on dialogue and the meaningful inclusion of young people’s voices.</w:t>
      </w:r>
    </w:p>
    <w:p w14:paraId="7E940C2A" w14:textId="77777777" w:rsidR="00445BB4" w:rsidRPr="00137F04" w:rsidRDefault="00445BB4" w:rsidP="00445BB4">
      <w:pPr>
        <w:pStyle w:val="Heading3"/>
        <w:spacing w:line="480" w:lineRule="auto"/>
        <w:rPr>
          <w:rFonts w:ascii="Times New Roman" w:hAnsi="Times New Roman" w:cs="Times New Roman"/>
          <w:szCs w:val="24"/>
        </w:rPr>
      </w:pPr>
      <w:r w:rsidRPr="00137F04">
        <w:rPr>
          <w:rFonts w:ascii="Times New Roman" w:hAnsi="Times New Roman" w:cs="Times New Roman"/>
          <w:szCs w:val="24"/>
        </w:rPr>
        <w:t>References</w:t>
      </w:r>
    </w:p>
    <w:p w14:paraId="6E934BAF" w14:textId="3E3B40DE" w:rsidR="00445BB4" w:rsidRPr="00137F04" w:rsidRDefault="00445BB4" w:rsidP="00445BB4">
      <w:pPr>
        <w:autoSpaceDE w:val="0"/>
        <w:autoSpaceDN w:val="0"/>
        <w:adjustRightInd w:val="0"/>
        <w:spacing w:after="0" w:line="480" w:lineRule="auto"/>
        <w:rPr>
          <w:rFonts w:ascii="Times New Roman" w:hAnsi="Times New Roman" w:cs="Times New Roman"/>
          <w:sz w:val="24"/>
        </w:rPr>
      </w:pPr>
      <w:r w:rsidRPr="00137F04">
        <w:rPr>
          <w:rFonts w:ascii="Times New Roman" w:hAnsi="Times New Roman" w:cs="Times New Roman"/>
          <w:sz w:val="24"/>
        </w:rPr>
        <w:t>Braun, V. and Clarke, V. (2022) Thematic Analysis: A Practical Guide. London: SAGE.</w:t>
      </w:r>
    </w:p>
    <w:p w14:paraId="23CB7183" w14:textId="77777777" w:rsidR="00445BB4" w:rsidRPr="00137F04" w:rsidRDefault="00445BB4" w:rsidP="00445BB4">
      <w:pPr>
        <w:autoSpaceDE w:val="0"/>
        <w:autoSpaceDN w:val="0"/>
        <w:adjustRightInd w:val="0"/>
        <w:spacing w:after="0" w:line="480" w:lineRule="auto"/>
        <w:rPr>
          <w:rFonts w:ascii="Times New Roman" w:hAnsi="Times New Roman" w:cs="Times New Roman"/>
          <w:sz w:val="24"/>
        </w:rPr>
      </w:pPr>
      <w:r w:rsidRPr="00137F04">
        <w:rPr>
          <w:rFonts w:ascii="Times New Roman" w:hAnsi="Times New Roman" w:cs="Times New Roman"/>
          <w:sz w:val="24"/>
        </w:rPr>
        <w:t xml:space="preserve">Campbell, S., Greenwood, M., Prior, S., Shearer, T., </w:t>
      </w:r>
      <w:proofErr w:type="spellStart"/>
      <w:r w:rsidRPr="00137F04">
        <w:rPr>
          <w:rFonts w:ascii="Times New Roman" w:hAnsi="Times New Roman" w:cs="Times New Roman"/>
          <w:sz w:val="24"/>
        </w:rPr>
        <w:t>Walkem</w:t>
      </w:r>
      <w:proofErr w:type="spellEnd"/>
      <w:r w:rsidRPr="00137F04">
        <w:rPr>
          <w:rFonts w:ascii="Times New Roman" w:hAnsi="Times New Roman" w:cs="Times New Roman"/>
          <w:sz w:val="24"/>
        </w:rPr>
        <w:t xml:space="preserve">, K., Young, S., Bywaters, D., &amp; Walker, K. (2020). Purposive sampling: complex or simple? Research case examples. Journal of research in Nursing. 25(8), 652–661. </w:t>
      </w:r>
      <w:hyperlink r:id="rId16" w:history="1">
        <w:r w:rsidRPr="00137F04">
          <w:rPr>
            <w:rStyle w:val="Hyperlink"/>
            <w:rFonts w:ascii="Times New Roman" w:hAnsi="Times New Roman" w:cs="Times New Roman"/>
            <w:sz w:val="24"/>
          </w:rPr>
          <w:t>https://doi.org/10.1177/1744987120927206</w:t>
        </w:r>
      </w:hyperlink>
      <w:r w:rsidRPr="00137F04">
        <w:rPr>
          <w:rFonts w:ascii="Times New Roman" w:hAnsi="Times New Roman" w:cs="Times New Roman"/>
          <w:sz w:val="24"/>
        </w:rPr>
        <w:t xml:space="preserve"> </w:t>
      </w:r>
    </w:p>
    <w:p w14:paraId="77BFDCF1" w14:textId="291121F5" w:rsidR="009E02E9" w:rsidRDefault="00445BB4" w:rsidP="009E02E9">
      <w:pPr>
        <w:autoSpaceDE w:val="0"/>
        <w:autoSpaceDN w:val="0"/>
        <w:adjustRightInd w:val="0"/>
        <w:spacing w:after="0" w:line="480" w:lineRule="auto"/>
        <w:rPr>
          <w:rFonts w:ascii="Times New Roman" w:hAnsi="Times New Roman" w:cs="Times New Roman"/>
          <w:color w:val="222222"/>
          <w:sz w:val="24"/>
          <w:shd w:val="clear" w:color="auto" w:fill="FFFFFF"/>
          <w:lang w:val="en-US"/>
        </w:rPr>
      </w:pPr>
      <w:proofErr w:type="spellStart"/>
      <w:r w:rsidRPr="00137F04">
        <w:rPr>
          <w:rFonts w:ascii="Times New Roman" w:hAnsi="Times New Roman" w:cs="Times New Roman"/>
          <w:sz w:val="24"/>
        </w:rPr>
        <w:t>Checkoway</w:t>
      </w:r>
      <w:proofErr w:type="spellEnd"/>
      <w:r w:rsidRPr="00137F04">
        <w:rPr>
          <w:rFonts w:ascii="Times New Roman" w:hAnsi="Times New Roman" w:cs="Times New Roman"/>
          <w:sz w:val="24"/>
        </w:rPr>
        <w:t xml:space="preserve">, B. (1997). Core concepts for community change. </w:t>
      </w:r>
      <w:r w:rsidRPr="00137F04">
        <w:rPr>
          <w:rFonts w:ascii="Times New Roman" w:hAnsi="Times New Roman" w:cs="Times New Roman"/>
          <w:i/>
          <w:iCs/>
          <w:sz w:val="24"/>
        </w:rPr>
        <w:t>Journal of Community Practice</w:t>
      </w:r>
      <w:r w:rsidRPr="00137F04">
        <w:rPr>
          <w:rFonts w:ascii="Times New Roman" w:hAnsi="Times New Roman" w:cs="Times New Roman"/>
          <w:sz w:val="24"/>
        </w:rPr>
        <w:t>, 6(1), 11-29.</w:t>
      </w:r>
    </w:p>
    <w:p w14:paraId="5F91EC77" w14:textId="5BBCDEE5" w:rsidR="00445BB4" w:rsidRPr="00137F04" w:rsidRDefault="00445BB4" w:rsidP="00445BB4">
      <w:pPr>
        <w:spacing w:line="480" w:lineRule="auto"/>
        <w:rPr>
          <w:rFonts w:ascii="Times New Roman" w:hAnsi="Times New Roman" w:cs="Times New Roman"/>
          <w:color w:val="222222"/>
          <w:sz w:val="24"/>
          <w:shd w:val="clear" w:color="auto" w:fill="FFFFFF"/>
        </w:rPr>
      </w:pPr>
      <w:proofErr w:type="spellStart"/>
      <w:r w:rsidRPr="00137F04">
        <w:rPr>
          <w:rFonts w:ascii="Times New Roman" w:hAnsi="Times New Roman" w:cs="Times New Roman"/>
          <w:color w:val="222222"/>
          <w:sz w:val="24"/>
          <w:shd w:val="clear" w:color="auto" w:fill="FFFFFF"/>
          <w:lang w:val="en-US"/>
        </w:rPr>
        <w:t>Ciraso</w:t>
      </w:r>
      <w:proofErr w:type="spellEnd"/>
      <w:r w:rsidRPr="00137F04">
        <w:rPr>
          <w:rFonts w:ascii="Times New Roman" w:hAnsi="Times New Roman" w:cs="Times New Roman"/>
          <w:color w:val="222222"/>
          <w:sz w:val="24"/>
          <w:shd w:val="clear" w:color="auto" w:fill="FFFFFF"/>
          <w:lang w:val="en-US"/>
        </w:rPr>
        <w:t xml:space="preserve">-Calí, A., Sala, M., Pineda-Herrero, P., &amp; </w:t>
      </w:r>
      <w:proofErr w:type="spellStart"/>
      <w:r w:rsidRPr="00137F04">
        <w:rPr>
          <w:rFonts w:ascii="Times New Roman" w:hAnsi="Times New Roman" w:cs="Times New Roman"/>
          <w:color w:val="222222"/>
          <w:sz w:val="24"/>
          <w:shd w:val="clear" w:color="auto" w:fill="FFFFFF"/>
          <w:lang w:val="en-US"/>
        </w:rPr>
        <w:t>Úcar</w:t>
      </w:r>
      <w:proofErr w:type="spellEnd"/>
      <w:r w:rsidRPr="00137F04">
        <w:rPr>
          <w:rFonts w:ascii="Times New Roman" w:hAnsi="Times New Roman" w:cs="Times New Roman"/>
          <w:color w:val="222222"/>
          <w:sz w:val="24"/>
          <w:shd w:val="clear" w:color="auto" w:fill="FFFFFF"/>
          <w:lang w:val="en-US"/>
        </w:rPr>
        <w:t xml:space="preserve">, X. (2023). </w:t>
      </w:r>
      <w:r w:rsidRPr="00137F04">
        <w:rPr>
          <w:rFonts w:ascii="Times New Roman" w:hAnsi="Times New Roman" w:cs="Times New Roman"/>
          <w:color w:val="222222"/>
          <w:sz w:val="24"/>
          <w:shd w:val="clear" w:color="auto" w:fill="FFFFFF"/>
        </w:rPr>
        <w:t>Youth Empowerment from the Educator’s Perspective: The Individual and Community Dimensions. </w:t>
      </w:r>
      <w:proofErr w:type="spellStart"/>
      <w:r w:rsidRPr="00137F04">
        <w:rPr>
          <w:rFonts w:ascii="Times New Roman" w:hAnsi="Times New Roman" w:cs="Times New Roman"/>
          <w:i/>
          <w:iCs/>
          <w:color w:val="222222"/>
          <w:sz w:val="24"/>
          <w:shd w:val="clear" w:color="auto" w:fill="FFFFFF"/>
        </w:rPr>
        <w:t>Educar</w:t>
      </w:r>
      <w:proofErr w:type="spellEnd"/>
      <w:r w:rsidRPr="00137F04">
        <w:rPr>
          <w:rFonts w:ascii="Times New Roman" w:hAnsi="Times New Roman" w:cs="Times New Roman"/>
          <w:color w:val="222222"/>
          <w:sz w:val="24"/>
          <w:shd w:val="clear" w:color="auto" w:fill="FFFFFF"/>
        </w:rPr>
        <w:t>, </w:t>
      </w:r>
      <w:r w:rsidRPr="00137F04">
        <w:rPr>
          <w:rFonts w:ascii="Times New Roman" w:hAnsi="Times New Roman" w:cs="Times New Roman"/>
          <w:b/>
          <w:bCs/>
          <w:i/>
          <w:iCs/>
          <w:color w:val="222222"/>
          <w:sz w:val="24"/>
          <w:shd w:val="clear" w:color="auto" w:fill="FFFFFF"/>
        </w:rPr>
        <w:t>59</w:t>
      </w:r>
      <w:r w:rsidRPr="00137F04">
        <w:rPr>
          <w:rFonts w:ascii="Times New Roman" w:hAnsi="Times New Roman" w:cs="Times New Roman"/>
          <w:color w:val="222222"/>
          <w:sz w:val="24"/>
          <w:shd w:val="clear" w:color="auto" w:fill="FFFFFF"/>
        </w:rPr>
        <w:t xml:space="preserve">(1), 231-248. </w:t>
      </w:r>
      <w:hyperlink r:id="rId17" w:history="1">
        <w:r w:rsidRPr="00137F04">
          <w:rPr>
            <w:rStyle w:val="Hyperlink"/>
            <w:rFonts w:ascii="Times New Roman" w:hAnsi="Times New Roman" w:cs="Times New Roman"/>
            <w:sz w:val="24"/>
            <w:shd w:val="clear" w:color="auto" w:fill="FFFFFF"/>
          </w:rPr>
          <w:t>https://doi.org/10.5565/rev/educar.1595</w:t>
        </w:r>
      </w:hyperlink>
    </w:p>
    <w:p w14:paraId="5A0DECC3" w14:textId="77777777" w:rsidR="009E02E9" w:rsidRDefault="009E02E9" w:rsidP="00445BB4">
      <w:pPr>
        <w:shd w:val="clear" w:color="auto" w:fill="FFFFFF"/>
        <w:spacing w:line="480" w:lineRule="auto"/>
        <w:rPr>
          <w:rFonts w:ascii="Times New Roman" w:hAnsi="Times New Roman" w:cs="Times New Roman"/>
          <w:color w:val="222222"/>
          <w:sz w:val="24"/>
          <w:shd w:val="clear" w:color="auto" w:fill="FFFFFF"/>
          <w:lang w:val="en-IE"/>
        </w:rPr>
      </w:pPr>
    </w:p>
    <w:p w14:paraId="7C297F99" w14:textId="11508BC0" w:rsidR="00445BB4" w:rsidRPr="00137F04" w:rsidRDefault="00445BB4" w:rsidP="00445BB4">
      <w:pPr>
        <w:shd w:val="clear" w:color="auto" w:fill="FFFFFF"/>
        <w:spacing w:line="480" w:lineRule="auto"/>
        <w:rPr>
          <w:rFonts w:ascii="Times New Roman" w:hAnsi="Times New Roman" w:cs="Times New Roman"/>
          <w:color w:val="222222"/>
          <w:sz w:val="24"/>
          <w:shd w:val="clear" w:color="auto" w:fill="FFFFFF"/>
          <w:lang w:val="en-IE"/>
        </w:rPr>
      </w:pPr>
      <w:r w:rsidRPr="00137F04">
        <w:rPr>
          <w:rFonts w:ascii="Times New Roman" w:hAnsi="Times New Roman" w:cs="Times New Roman"/>
          <w:color w:val="222222"/>
          <w:sz w:val="24"/>
          <w:shd w:val="clear" w:color="auto" w:fill="FFFFFF"/>
          <w:lang w:val="en-IE"/>
        </w:rPr>
        <w:t xml:space="preserve">Coburn, A. (2010). ‘Youth work as border pedagogy’. In </w:t>
      </w:r>
      <w:proofErr w:type="spellStart"/>
      <w:r w:rsidRPr="00137F04">
        <w:rPr>
          <w:rFonts w:ascii="Times New Roman" w:hAnsi="Times New Roman" w:cs="Times New Roman"/>
          <w:color w:val="222222"/>
          <w:sz w:val="24"/>
          <w:shd w:val="clear" w:color="auto" w:fill="FFFFFF"/>
          <w:lang w:val="en-IE"/>
        </w:rPr>
        <w:t>Batsleer</w:t>
      </w:r>
      <w:proofErr w:type="spellEnd"/>
      <w:r w:rsidRPr="00137F04">
        <w:rPr>
          <w:rFonts w:ascii="Times New Roman" w:hAnsi="Times New Roman" w:cs="Times New Roman"/>
          <w:color w:val="222222"/>
          <w:sz w:val="24"/>
          <w:shd w:val="clear" w:color="auto" w:fill="FFFFFF"/>
          <w:lang w:val="en-IE"/>
        </w:rPr>
        <w:t xml:space="preserve">, J., Davies, B. &amp; Popple, K. What is youth work? (pp. 33-46). SAGE Publications, Inc., </w:t>
      </w:r>
      <w:hyperlink r:id="rId18" w:history="1">
        <w:r w:rsidRPr="00137F04">
          <w:rPr>
            <w:rStyle w:val="Hyperlink"/>
            <w:rFonts w:ascii="Times New Roman" w:hAnsi="Times New Roman" w:cs="Times New Roman"/>
            <w:sz w:val="24"/>
            <w:shd w:val="clear" w:color="auto" w:fill="FFFFFF"/>
            <w:lang w:val="en-IE"/>
          </w:rPr>
          <w:t>https://dx.doi.org/10.4135/9781526435873.n4</w:t>
        </w:r>
      </w:hyperlink>
      <w:r w:rsidRPr="00137F04">
        <w:rPr>
          <w:rFonts w:ascii="Times New Roman" w:hAnsi="Times New Roman" w:cs="Times New Roman"/>
          <w:color w:val="222222"/>
          <w:sz w:val="24"/>
          <w:shd w:val="clear" w:color="auto" w:fill="FFFFFF"/>
          <w:lang w:val="en-IE"/>
        </w:rPr>
        <w:t xml:space="preserve"> </w:t>
      </w:r>
    </w:p>
    <w:p w14:paraId="5F10FFC6" w14:textId="77777777" w:rsidR="00445BB4" w:rsidRPr="00137F04" w:rsidRDefault="00445BB4" w:rsidP="00445BB4">
      <w:pPr>
        <w:shd w:val="clear" w:color="auto" w:fill="FFFFFF"/>
        <w:spacing w:line="480" w:lineRule="auto"/>
        <w:rPr>
          <w:rFonts w:ascii="Times New Roman" w:hAnsi="Times New Roman" w:cs="Times New Roman"/>
          <w:color w:val="222222"/>
          <w:sz w:val="24"/>
          <w:shd w:val="clear" w:color="auto" w:fill="FFFFFF"/>
        </w:rPr>
      </w:pPr>
      <w:r w:rsidRPr="00137F04">
        <w:rPr>
          <w:rFonts w:ascii="Times New Roman" w:hAnsi="Times New Roman" w:cs="Times New Roman"/>
          <w:color w:val="222222"/>
          <w:sz w:val="24"/>
          <w:shd w:val="clear" w:color="auto" w:fill="FFFFFF"/>
        </w:rPr>
        <w:t xml:space="preserve">Corney, T., Cooper, T., Shier, H., &amp; Williamson, H. (2022). Youth participation: Adultism, human rights and professional youth work. Children &amp; Society, 36, 677–690. </w:t>
      </w:r>
      <w:hyperlink r:id="rId19" w:history="1">
        <w:r w:rsidRPr="00137F04">
          <w:rPr>
            <w:rStyle w:val="Hyperlink"/>
            <w:rFonts w:ascii="Times New Roman" w:hAnsi="Times New Roman" w:cs="Times New Roman"/>
            <w:sz w:val="24"/>
            <w:shd w:val="clear" w:color="auto" w:fill="FFFFFF"/>
          </w:rPr>
          <w:t>https://doi.org/10.1111/chso.12526</w:t>
        </w:r>
      </w:hyperlink>
      <w:r w:rsidRPr="00137F04">
        <w:rPr>
          <w:rFonts w:ascii="Times New Roman" w:hAnsi="Times New Roman" w:cs="Times New Roman"/>
          <w:color w:val="222222"/>
          <w:sz w:val="24"/>
          <w:shd w:val="clear" w:color="auto" w:fill="FFFFFF"/>
        </w:rPr>
        <w:t xml:space="preserve"> (Accessed: 18 April 2026)</w:t>
      </w:r>
    </w:p>
    <w:p w14:paraId="2A313E0D" w14:textId="77777777" w:rsidR="00445BB4" w:rsidRPr="00137F04" w:rsidRDefault="00445BB4" w:rsidP="00445BB4">
      <w:pPr>
        <w:spacing w:line="480" w:lineRule="auto"/>
        <w:rPr>
          <w:rFonts w:ascii="Times New Roman" w:hAnsi="Times New Roman" w:cs="Times New Roman"/>
          <w:color w:val="222222"/>
          <w:sz w:val="24"/>
          <w:shd w:val="clear" w:color="auto" w:fill="FFFFFF"/>
        </w:rPr>
      </w:pPr>
      <w:proofErr w:type="spellStart"/>
      <w:r w:rsidRPr="00137F04">
        <w:rPr>
          <w:rFonts w:ascii="Times New Roman" w:hAnsi="Times New Roman" w:cs="Times New Roman"/>
          <w:color w:val="222222"/>
          <w:sz w:val="24"/>
          <w:shd w:val="clear" w:color="auto" w:fill="FFFFFF"/>
        </w:rPr>
        <w:t>Crouzé</w:t>
      </w:r>
      <w:proofErr w:type="spellEnd"/>
      <w:r w:rsidRPr="00137F04">
        <w:rPr>
          <w:rFonts w:ascii="Times New Roman" w:hAnsi="Times New Roman" w:cs="Times New Roman"/>
          <w:color w:val="222222"/>
          <w:sz w:val="24"/>
          <w:shd w:val="clear" w:color="auto" w:fill="FFFFFF"/>
        </w:rPr>
        <w:t xml:space="preserve">, R., </w:t>
      </w:r>
      <w:proofErr w:type="spellStart"/>
      <w:r w:rsidRPr="00137F04">
        <w:rPr>
          <w:rFonts w:ascii="Times New Roman" w:hAnsi="Times New Roman" w:cs="Times New Roman"/>
          <w:color w:val="222222"/>
          <w:sz w:val="24"/>
          <w:shd w:val="clear" w:color="auto" w:fill="FFFFFF"/>
        </w:rPr>
        <w:t>Vanwing</w:t>
      </w:r>
      <w:proofErr w:type="spellEnd"/>
      <w:r w:rsidRPr="00137F04">
        <w:rPr>
          <w:rFonts w:ascii="Times New Roman" w:hAnsi="Times New Roman" w:cs="Times New Roman"/>
          <w:color w:val="222222"/>
          <w:sz w:val="24"/>
          <w:shd w:val="clear" w:color="auto" w:fill="FFFFFF"/>
        </w:rPr>
        <w:t>, T., &amp; Meurs, P. (2022). Mind the Gap: The Potential of Professional Youth Work for Civic Empowerment and Engagement of Youth at Social Risk. </w:t>
      </w:r>
      <w:r w:rsidRPr="00137F04">
        <w:rPr>
          <w:rFonts w:ascii="Times New Roman" w:hAnsi="Times New Roman" w:cs="Times New Roman"/>
          <w:i/>
          <w:iCs/>
          <w:color w:val="222222"/>
          <w:sz w:val="24"/>
          <w:shd w:val="clear" w:color="auto" w:fill="FFFFFF"/>
        </w:rPr>
        <w:t>Journal of Social Intervention: Theory and Practice</w:t>
      </w:r>
      <w:r w:rsidRPr="00137F04">
        <w:rPr>
          <w:rFonts w:ascii="Times New Roman" w:hAnsi="Times New Roman" w:cs="Times New Roman"/>
          <w:color w:val="222222"/>
          <w:sz w:val="24"/>
          <w:shd w:val="clear" w:color="auto" w:fill="FFFFFF"/>
        </w:rPr>
        <w:t>, </w:t>
      </w:r>
      <w:r w:rsidRPr="00137F04">
        <w:rPr>
          <w:rFonts w:ascii="Times New Roman" w:hAnsi="Times New Roman" w:cs="Times New Roman"/>
          <w:i/>
          <w:iCs/>
          <w:color w:val="222222"/>
          <w:sz w:val="24"/>
          <w:shd w:val="clear" w:color="auto" w:fill="FFFFFF"/>
        </w:rPr>
        <w:t>31</w:t>
      </w:r>
      <w:r w:rsidRPr="00137F04">
        <w:rPr>
          <w:rFonts w:ascii="Times New Roman" w:hAnsi="Times New Roman" w:cs="Times New Roman"/>
          <w:color w:val="222222"/>
          <w:sz w:val="24"/>
          <w:shd w:val="clear" w:color="auto" w:fill="FFFFFF"/>
        </w:rPr>
        <w:t xml:space="preserve">(3). </w:t>
      </w:r>
      <w:hyperlink r:id="rId20" w:history="1">
        <w:r w:rsidRPr="00137F04">
          <w:rPr>
            <w:rStyle w:val="Hyperlink"/>
            <w:rFonts w:ascii="Times New Roman" w:hAnsi="Times New Roman" w:cs="Times New Roman"/>
            <w:sz w:val="24"/>
            <w:shd w:val="clear" w:color="auto" w:fill="FFFFFF"/>
          </w:rPr>
          <w:t>https://doi.org/10.54431/jsi.716</w:t>
        </w:r>
      </w:hyperlink>
      <w:r w:rsidRPr="00137F04">
        <w:rPr>
          <w:rFonts w:ascii="Times New Roman" w:hAnsi="Times New Roman" w:cs="Times New Roman"/>
          <w:color w:val="222222"/>
          <w:sz w:val="24"/>
          <w:shd w:val="clear" w:color="auto" w:fill="FFFFFF"/>
        </w:rPr>
        <w:t xml:space="preserve"> </w:t>
      </w:r>
    </w:p>
    <w:p w14:paraId="3E263A83" w14:textId="77777777" w:rsidR="00445BB4" w:rsidRPr="00137F04" w:rsidRDefault="00445BB4" w:rsidP="00445BB4">
      <w:pPr>
        <w:spacing w:line="480" w:lineRule="auto"/>
        <w:rPr>
          <w:rFonts w:ascii="Times New Roman" w:hAnsi="Times New Roman" w:cs="Times New Roman"/>
          <w:sz w:val="24"/>
        </w:rPr>
      </w:pPr>
      <w:r w:rsidRPr="00137F04">
        <w:rPr>
          <w:rFonts w:ascii="Times New Roman" w:hAnsi="Times New Roman" w:cs="Times New Roman"/>
          <w:sz w:val="24"/>
        </w:rPr>
        <w:t xml:space="preserve">Dunne, A., </w:t>
      </w:r>
      <w:proofErr w:type="spellStart"/>
      <w:r w:rsidRPr="00137F04">
        <w:rPr>
          <w:rFonts w:ascii="Times New Roman" w:hAnsi="Times New Roman" w:cs="Times New Roman"/>
          <w:sz w:val="24"/>
        </w:rPr>
        <w:t>Ulicna</w:t>
      </w:r>
      <w:proofErr w:type="spellEnd"/>
      <w:r w:rsidRPr="00137F04">
        <w:rPr>
          <w:rFonts w:ascii="Times New Roman" w:hAnsi="Times New Roman" w:cs="Times New Roman"/>
          <w:sz w:val="24"/>
        </w:rPr>
        <w:t xml:space="preserve">, D., Murphy, I. &amp; Golubeva, M. (2014). Working with young people: the value of youth work in the European Union: case studies. European Commission, February 2014. </w:t>
      </w:r>
    </w:p>
    <w:p w14:paraId="5B9F797F" w14:textId="77777777" w:rsidR="00445BB4" w:rsidRPr="00137F04" w:rsidRDefault="00445BB4" w:rsidP="00445BB4">
      <w:pPr>
        <w:spacing w:line="480" w:lineRule="auto"/>
        <w:rPr>
          <w:rFonts w:ascii="Times New Roman" w:hAnsi="Times New Roman" w:cs="Times New Roman"/>
          <w:color w:val="222222"/>
          <w:sz w:val="24"/>
          <w:shd w:val="clear" w:color="auto" w:fill="FFFFFF"/>
        </w:rPr>
      </w:pPr>
      <w:r w:rsidRPr="00137F04">
        <w:rPr>
          <w:rFonts w:ascii="Times New Roman" w:hAnsi="Times New Roman" w:cs="Times New Roman"/>
          <w:color w:val="222222"/>
          <w:sz w:val="24"/>
          <w:shd w:val="clear" w:color="auto" w:fill="FFFFFF"/>
        </w:rPr>
        <w:t>Evans, P., &amp; Kruger, A. (2012). </w:t>
      </w:r>
      <w:r w:rsidRPr="00137F04">
        <w:rPr>
          <w:rFonts w:ascii="Times New Roman" w:hAnsi="Times New Roman" w:cs="Times New Roman"/>
          <w:i/>
          <w:iCs/>
          <w:color w:val="222222"/>
          <w:sz w:val="24"/>
          <w:shd w:val="clear" w:color="auto" w:fill="FFFFFF"/>
        </w:rPr>
        <w:t>Youth and Community Empowerment in Europe</w:t>
      </w:r>
      <w:r w:rsidRPr="00137F04">
        <w:rPr>
          <w:rFonts w:ascii="Times New Roman" w:hAnsi="Times New Roman" w:cs="Times New Roman"/>
          <w:color w:val="222222"/>
          <w:sz w:val="24"/>
          <w:shd w:val="clear" w:color="auto" w:fill="FFFFFF"/>
        </w:rPr>
        <w:t>. Policy Press.</w:t>
      </w:r>
    </w:p>
    <w:p w14:paraId="1004E909" w14:textId="77777777" w:rsidR="00445BB4" w:rsidRPr="00137F04" w:rsidRDefault="00445BB4" w:rsidP="00445BB4">
      <w:pPr>
        <w:spacing w:line="480" w:lineRule="auto"/>
        <w:rPr>
          <w:rFonts w:ascii="Times New Roman" w:hAnsi="Times New Roman" w:cs="Times New Roman"/>
          <w:color w:val="222222"/>
          <w:sz w:val="24"/>
          <w:shd w:val="clear" w:color="auto" w:fill="FFFFFF"/>
        </w:rPr>
      </w:pPr>
      <w:r w:rsidRPr="00137F04">
        <w:rPr>
          <w:rFonts w:ascii="Times New Roman" w:hAnsi="Times New Roman" w:cs="Times New Roman"/>
          <w:color w:val="222222"/>
          <w:sz w:val="24"/>
          <w:shd w:val="clear" w:color="auto" w:fill="FFFFFF"/>
        </w:rPr>
        <w:t>Freire, P. 1996 Letters to Cristina Reflections on My Life and Work, London &amp; New York: Routledge</w:t>
      </w:r>
    </w:p>
    <w:p w14:paraId="276CC754" w14:textId="77777777" w:rsidR="00445BB4" w:rsidRPr="00137F04" w:rsidRDefault="00445BB4" w:rsidP="00445BB4">
      <w:pPr>
        <w:spacing w:line="480" w:lineRule="auto"/>
        <w:rPr>
          <w:rFonts w:ascii="Times New Roman" w:hAnsi="Times New Roman" w:cs="Times New Roman"/>
          <w:sz w:val="24"/>
          <w:shd w:val="clear" w:color="auto" w:fill="FFFFFF"/>
          <w:lang w:val="en-IE"/>
        </w:rPr>
      </w:pPr>
      <w:r w:rsidRPr="00137F04">
        <w:rPr>
          <w:rFonts w:ascii="Times New Roman" w:hAnsi="Times New Roman" w:cs="Times New Roman"/>
          <w:sz w:val="24"/>
          <w:shd w:val="clear" w:color="auto" w:fill="FFFFFF"/>
          <w:lang w:val="en-IE"/>
        </w:rPr>
        <w:t xml:space="preserve">Giroux, H. (2024). Critical Pedagogy Against the Neoliberal Agenda in Education: The Stance of Critical Educators. </w:t>
      </w:r>
      <w:r w:rsidRPr="00137F04">
        <w:rPr>
          <w:rFonts w:ascii="Times New Roman" w:hAnsi="Times New Roman" w:cs="Times New Roman"/>
          <w:i/>
          <w:iCs/>
          <w:sz w:val="24"/>
          <w:shd w:val="clear" w:color="auto" w:fill="FFFFFF"/>
          <w:lang w:val="en-IE"/>
        </w:rPr>
        <w:t>Journal of Underrepresented &amp; Minority Progress</w:t>
      </w:r>
      <w:r w:rsidRPr="00137F04">
        <w:rPr>
          <w:rFonts w:ascii="Times New Roman" w:hAnsi="Times New Roman" w:cs="Times New Roman"/>
          <w:sz w:val="24"/>
          <w:shd w:val="clear" w:color="auto" w:fill="FFFFFF"/>
          <w:lang w:val="en-IE"/>
        </w:rPr>
        <w:t xml:space="preserve">, </w:t>
      </w:r>
      <w:r w:rsidRPr="00137F04">
        <w:rPr>
          <w:rFonts w:ascii="Times New Roman" w:hAnsi="Times New Roman" w:cs="Times New Roman"/>
          <w:i/>
          <w:iCs/>
          <w:sz w:val="24"/>
          <w:shd w:val="clear" w:color="auto" w:fill="FFFFFF"/>
          <w:lang w:val="en-IE"/>
        </w:rPr>
        <w:t>8</w:t>
      </w:r>
      <w:r w:rsidRPr="00137F04">
        <w:rPr>
          <w:rFonts w:ascii="Times New Roman" w:hAnsi="Times New Roman" w:cs="Times New Roman"/>
          <w:sz w:val="24"/>
          <w:shd w:val="clear" w:color="auto" w:fill="FFFFFF"/>
          <w:lang w:val="en-IE"/>
        </w:rPr>
        <w:t xml:space="preserve">(2). </w:t>
      </w:r>
      <w:hyperlink r:id="rId21" w:history="1">
        <w:r w:rsidRPr="00137F04">
          <w:rPr>
            <w:rStyle w:val="Hyperlink"/>
            <w:rFonts w:ascii="Times New Roman" w:hAnsi="Times New Roman" w:cs="Times New Roman"/>
            <w:sz w:val="24"/>
            <w:shd w:val="clear" w:color="auto" w:fill="FFFFFF"/>
            <w:lang w:val="en-IE"/>
          </w:rPr>
          <w:t>https://doi.org/10.32674/8a7gn586</w:t>
        </w:r>
      </w:hyperlink>
      <w:r w:rsidRPr="00137F04">
        <w:rPr>
          <w:rFonts w:ascii="Times New Roman" w:hAnsi="Times New Roman" w:cs="Times New Roman"/>
          <w:sz w:val="24"/>
          <w:shd w:val="clear" w:color="auto" w:fill="FFFFFF"/>
          <w:lang w:val="en-IE"/>
        </w:rPr>
        <w:t xml:space="preserve"> </w:t>
      </w:r>
    </w:p>
    <w:p w14:paraId="132798D1" w14:textId="77777777" w:rsidR="00445BB4" w:rsidRPr="00137F04" w:rsidRDefault="00445BB4" w:rsidP="00445BB4">
      <w:pPr>
        <w:spacing w:line="480" w:lineRule="auto"/>
        <w:rPr>
          <w:rFonts w:ascii="Times New Roman" w:hAnsi="Times New Roman" w:cs="Times New Roman"/>
          <w:color w:val="222222"/>
          <w:sz w:val="24"/>
          <w:shd w:val="clear" w:color="auto" w:fill="FFFFFF"/>
        </w:rPr>
      </w:pPr>
      <w:r w:rsidRPr="00137F04">
        <w:rPr>
          <w:rFonts w:ascii="Times New Roman" w:hAnsi="Times New Roman" w:cs="Times New Roman"/>
          <w:color w:val="222222"/>
          <w:sz w:val="24"/>
          <w:shd w:val="clear" w:color="auto" w:fill="FFFFFF"/>
        </w:rPr>
        <w:t>James, T. and McGillicuddy, K. 2001. Building Youth Movements for Community Change. Nonprofit Quarterly. 18(4), pp.1-3.</w:t>
      </w:r>
    </w:p>
    <w:p w14:paraId="483FFB24" w14:textId="77777777" w:rsidR="009E02E9" w:rsidRDefault="009E02E9" w:rsidP="00445BB4">
      <w:pPr>
        <w:spacing w:line="480" w:lineRule="auto"/>
        <w:rPr>
          <w:rFonts w:ascii="Times New Roman" w:hAnsi="Times New Roman" w:cs="Times New Roman"/>
          <w:color w:val="222222"/>
          <w:sz w:val="24"/>
          <w:shd w:val="clear" w:color="auto" w:fill="FFFFFF"/>
        </w:rPr>
      </w:pPr>
    </w:p>
    <w:p w14:paraId="711E3F59" w14:textId="6340CE87" w:rsidR="00445BB4" w:rsidRPr="00137F04" w:rsidRDefault="00445BB4" w:rsidP="00445BB4">
      <w:pPr>
        <w:spacing w:line="480" w:lineRule="auto"/>
        <w:rPr>
          <w:rFonts w:ascii="Times New Roman" w:hAnsi="Times New Roman" w:cs="Times New Roman"/>
          <w:color w:val="222222"/>
          <w:sz w:val="24"/>
          <w:shd w:val="clear" w:color="auto" w:fill="FFFFFF"/>
        </w:rPr>
      </w:pPr>
      <w:r w:rsidRPr="00137F04">
        <w:rPr>
          <w:rFonts w:ascii="Times New Roman" w:hAnsi="Times New Roman" w:cs="Times New Roman"/>
          <w:color w:val="222222"/>
          <w:sz w:val="24"/>
          <w:shd w:val="clear" w:color="auto" w:fill="FFFFFF"/>
        </w:rPr>
        <w:t>Jennings, L. B., Parra-Medina, D. M., Hilfinger-Messias, D. K., &amp; McLoughlin, K. (2006). Toward a critical social theory of youth empowerment. </w:t>
      </w:r>
      <w:r w:rsidRPr="00137F04">
        <w:rPr>
          <w:rFonts w:ascii="Times New Roman" w:hAnsi="Times New Roman" w:cs="Times New Roman"/>
          <w:i/>
          <w:iCs/>
          <w:color w:val="222222"/>
          <w:sz w:val="24"/>
          <w:shd w:val="clear" w:color="auto" w:fill="FFFFFF"/>
        </w:rPr>
        <w:t>Journal of Community Practice</w:t>
      </w:r>
      <w:r w:rsidRPr="00137F04">
        <w:rPr>
          <w:rFonts w:ascii="Times New Roman" w:hAnsi="Times New Roman" w:cs="Times New Roman"/>
          <w:color w:val="222222"/>
          <w:sz w:val="24"/>
          <w:shd w:val="clear" w:color="auto" w:fill="FFFFFF"/>
        </w:rPr>
        <w:t>, </w:t>
      </w:r>
      <w:r w:rsidRPr="00137F04">
        <w:rPr>
          <w:rFonts w:ascii="Times New Roman" w:hAnsi="Times New Roman" w:cs="Times New Roman"/>
          <w:i/>
          <w:iCs/>
          <w:color w:val="222222"/>
          <w:sz w:val="24"/>
          <w:shd w:val="clear" w:color="auto" w:fill="FFFFFF"/>
        </w:rPr>
        <w:t>14</w:t>
      </w:r>
      <w:r w:rsidRPr="00137F04">
        <w:rPr>
          <w:rFonts w:ascii="Times New Roman" w:hAnsi="Times New Roman" w:cs="Times New Roman"/>
          <w:color w:val="222222"/>
          <w:sz w:val="24"/>
          <w:shd w:val="clear" w:color="auto" w:fill="FFFFFF"/>
        </w:rPr>
        <w:t>(1-2), 31-55.</w:t>
      </w:r>
    </w:p>
    <w:p w14:paraId="307126BB" w14:textId="77777777" w:rsidR="00445BB4" w:rsidRPr="00137F04" w:rsidRDefault="00445BB4" w:rsidP="00445BB4">
      <w:pPr>
        <w:spacing w:line="480" w:lineRule="auto"/>
        <w:rPr>
          <w:rFonts w:ascii="Times New Roman" w:hAnsi="Times New Roman" w:cs="Times New Roman"/>
          <w:sz w:val="24"/>
          <w:shd w:val="clear" w:color="auto" w:fill="FFFFFF"/>
          <w:lang w:val="es-ES"/>
        </w:rPr>
      </w:pPr>
      <w:r w:rsidRPr="00137F04">
        <w:rPr>
          <w:rFonts w:ascii="Times New Roman" w:hAnsi="Times New Roman" w:cs="Times New Roman"/>
          <w:sz w:val="24"/>
          <w:shd w:val="clear" w:color="auto" w:fill="FFFFFF"/>
          <w:lang w:val="es-ES"/>
        </w:rPr>
        <w:t xml:space="preserve">Kohler Gonzalez, Z., &amp; de Fátima Guareschi, N. M. (2009). </w:t>
      </w:r>
      <w:r w:rsidRPr="00137F04">
        <w:rPr>
          <w:rFonts w:ascii="Times New Roman" w:hAnsi="Times New Roman" w:cs="Times New Roman"/>
          <w:i/>
          <w:iCs/>
          <w:sz w:val="24"/>
          <w:shd w:val="clear" w:color="auto" w:fill="FFFFFF"/>
          <w:lang w:val="en-IE"/>
        </w:rPr>
        <w:t xml:space="preserve">O </w:t>
      </w:r>
      <w:proofErr w:type="spellStart"/>
      <w:r w:rsidRPr="00137F04">
        <w:rPr>
          <w:rFonts w:ascii="Times New Roman" w:hAnsi="Times New Roman" w:cs="Times New Roman"/>
          <w:i/>
          <w:iCs/>
          <w:sz w:val="24"/>
          <w:shd w:val="clear" w:color="auto" w:fill="FFFFFF"/>
          <w:lang w:val="en-IE"/>
        </w:rPr>
        <w:t>protagonismo</w:t>
      </w:r>
      <w:proofErr w:type="spellEnd"/>
      <w:r w:rsidRPr="00137F04">
        <w:rPr>
          <w:rFonts w:ascii="Times New Roman" w:hAnsi="Times New Roman" w:cs="Times New Roman"/>
          <w:i/>
          <w:iCs/>
          <w:sz w:val="24"/>
          <w:shd w:val="clear" w:color="auto" w:fill="FFFFFF"/>
          <w:lang w:val="en-IE"/>
        </w:rPr>
        <w:t xml:space="preserve"> social e o </w:t>
      </w:r>
      <w:proofErr w:type="spellStart"/>
      <w:r w:rsidRPr="00137F04">
        <w:rPr>
          <w:rFonts w:ascii="Times New Roman" w:hAnsi="Times New Roman" w:cs="Times New Roman"/>
          <w:i/>
          <w:iCs/>
          <w:sz w:val="24"/>
          <w:shd w:val="clear" w:color="auto" w:fill="FFFFFF"/>
          <w:lang w:val="en-IE"/>
        </w:rPr>
        <w:t>governo</w:t>
      </w:r>
      <w:proofErr w:type="spellEnd"/>
      <w:r w:rsidRPr="00137F04">
        <w:rPr>
          <w:rFonts w:ascii="Times New Roman" w:hAnsi="Times New Roman" w:cs="Times New Roman"/>
          <w:i/>
          <w:iCs/>
          <w:sz w:val="24"/>
          <w:shd w:val="clear" w:color="auto" w:fill="FFFFFF"/>
          <w:lang w:val="en-IE"/>
        </w:rPr>
        <w:t xml:space="preserve"> de </w:t>
      </w:r>
      <w:proofErr w:type="spellStart"/>
      <w:r w:rsidRPr="00137F04">
        <w:rPr>
          <w:rFonts w:ascii="Times New Roman" w:hAnsi="Times New Roman" w:cs="Times New Roman"/>
          <w:i/>
          <w:iCs/>
          <w:sz w:val="24"/>
          <w:shd w:val="clear" w:color="auto" w:fill="FFFFFF"/>
          <w:lang w:val="en-IE"/>
        </w:rPr>
        <w:t>jovens</w:t>
      </w:r>
      <w:proofErr w:type="spellEnd"/>
      <w:r w:rsidRPr="00137F04">
        <w:rPr>
          <w:rFonts w:ascii="Times New Roman" w:hAnsi="Times New Roman" w:cs="Times New Roman"/>
          <w:i/>
          <w:iCs/>
          <w:sz w:val="24"/>
          <w:shd w:val="clear" w:color="auto" w:fill="FFFFFF"/>
          <w:lang w:val="en-IE"/>
        </w:rPr>
        <w:t xml:space="preserve"> </w:t>
      </w:r>
      <w:r w:rsidRPr="00137F04">
        <w:rPr>
          <w:rFonts w:ascii="Times New Roman" w:hAnsi="Times New Roman" w:cs="Times New Roman"/>
          <w:sz w:val="24"/>
          <w:shd w:val="clear" w:color="auto" w:fill="FFFFFF"/>
          <w:lang w:val="en-IE"/>
        </w:rPr>
        <w:t xml:space="preserve">[social protagonism and the governance of youth]. </w:t>
      </w:r>
      <w:r w:rsidRPr="00137F04">
        <w:rPr>
          <w:rFonts w:ascii="Times New Roman" w:hAnsi="Times New Roman" w:cs="Times New Roman"/>
          <w:i/>
          <w:iCs/>
          <w:sz w:val="24"/>
          <w:shd w:val="clear" w:color="auto" w:fill="FFFFFF"/>
          <w:lang w:val="es-ES"/>
        </w:rPr>
        <w:t>Revista Latinoamericana de Ciencias Sociales, Niñez y Juventud</w:t>
      </w:r>
      <w:r w:rsidRPr="00137F04">
        <w:rPr>
          <w:rFonts w:ascii="Times New Roman" w:hAnsi="Times New Roman" w:cs="Times New Roman"/>
          <w:sz w:val="24"/>
          <w:shd w:val="clear" w:color="auto" w:fill="FFFFFF"/>
          <w:lang w:val="es-ES"/>
        </w:rPr>
        <w:t xml:space="preserve">, </w:t>
      </w:r>
      <w:r w:rsidRPr="00137F04">
        <w:rPr>
          <w:rFonts w:ascii="Times New Roman" w:hAnsi="Times New Roman" w:cs="Times New Roman"/>
          <w:i/>
          <w:iCs/>
          <w:sz w:val="24"/>
          <w:shd w:val="clear" w:color="auto" w:fill="FFFFFF"/>
          <w:lang w:val="es-ES"/>
        </w:rPr>
        <w:t>7</w:t>
      </w:r>
      <w:r w:rsidRPr="00137F04">
        <w:rPr>
          <w:rFonts w:ascii="Times New Roman" w:hAnsi="Times New Roman" w:cs="Times New Roman"/>
          <w:sz w:val="24"/>
          <w:shd w:val="clear" w:color="auto" w:fill="FFFFFF"/>
          <w:lang w:val="es-ES"/>
        </w:rPr>
        <w:t xml:space="preserve">(1), 37–57. </w:t>
      </w:r>
      <w:hyperlink r:id="rId22" w:history="1">
        <w:r w:rsidRPr="00137F04">
          <w:rPr>
            <w:rStyle w:val="Hyperlink"/>
            <w:rFonts w:ascii="Times New Roman" w:hAnsi="Times New Roman" w:cs="Times New Roman"/>
            <w:sz w:val="24"/>
            <w:shd w:val="clear" w:color="auto" w:fill="FFFFFF"/>
            <w:lang w:val="es-ES"/>
          </w:rPr>
          <w:t>https://doi.org/10.11600/rlcsnj.7.1.216</w:t>
        </w:r>
      </w:hyperlink>
      <w:r w:rsidRPr="00137F04">
        <w:rPr>
          <w:rFonts w:ascii="Times New Roman" w:hAnsi="Times New Roman" w:cs="Times New Roman"/>
          <w:sz w:val="24"/>
          <w:shd w:val="clear" w:color="auto" w:fill="FFFFFF"/>
          <w:lang w:val="es-ES"/>
        </w:rPr>
        <w:t xml:space="preserve">   </w:t>
      </w:r>
    </w:p>
    <w:p w14:paraId="7FE78EE6" w14:textId="77777777" w:rsidR="00445BB4" w:rsidRPr="00137F04" w:rsidRDefault="00445BB4" w:rsidP="00445BB4">
      <w:pPr>
        <w:spacing w:line="480" w:lineRule="auto"/>
        <w:rPr>
          <w:rFonts w:ascii="Times New Roman" w:hAnsi="Times New Roman" w:cs="Times New Roman"/>
          <w:color w:val="222222"/>
          <w:sz w:val="24"/>
          <w:shd w:val="clear" w:color="auto" w:fill="FFFFFF"/>
          <w:lang w:val="en-IE"/>
        </w:rPr>
      </w:pPr>
      <w:r w:rsidRPr="00137F04">
        <w:rPr>
          <w:rFonts w:ascii="Times New Roman" w:hAnsi="Times New Roman" w:cs="Times New Roman"/>
          <w:color w:val="222222"/>
          <w:sz w:val="24"/>
          <w:shd w:val="clear" w:color="auto" w:fill="FFFFFF"/>
          <w:lang w:val="en-IE"/>
        </w:rPr>
        <w:t>Llena Berñe, A., Planas-</w:t>
      </w:r>
      <w:proofErr w:type="spellStart"/>
      <w:r w:rsidRPr="00137F04">
        <w:rPr>
          <w:rFonts w:ascii="Times New Roman" w:hAnsi="Times New Roman" w:cs="Times New Roman"/>
          <w:color w:val="222222"/>
          <w:sz w:val="24"/>
          <w:shd w:val="clear" w:color="auto" w:fill="FFFFFF"/>
          <w:lang w:val="en-IE"/>
        </w:rPr>
        <w:t>Lladó</w:t>
      </w:r>
      <w:proofErr w:type="spellEnd"/>
      <w:r w:rsidRPr="00137F04">
        <w:rPr>
          <w:rFonts w:ascii="Times New Roman" w:hAnsi="Times New Roman" w:cs="Times New Roman"/>
          <w:color w:val="222222"/>
          <w:sz w:val="24"/>
          <w:shd w:val="clear" w:color="auto" w:fill="FFFFFF"/>
          <w:lang w:val="en-IE"/>
        </w:rPr>
        <w:t>, A., Vila-</w:t>
      </w:r>
      <w:proofErr w:type="spellStart"/>
      <w:r w:rsidRPr="00137F04">
        <w:rPr>
          <w:rFonts w:ascii="Times New Roman" w:hAnsi="Times New Roman" w:cs="Times New Roman"/>
          <w:color w:val="222222"/>
          <w:sz w:val="24"/>
          <w:shd w:val="clear" w:color="auto" w:fill="FFFFFF"/>
          <w:lang w:val="en-IE"/>
        </w:rPr>
        <w:t>Mumbrú</w:t>
      </w:r>
      <w:proofErr w:type="spellEnd"/>
      <w:r w:rsidRPr="00137F04">
        <w:rPr>
          <w:rFonts w:ascii="Times New Roman" w:hAnsi="Times New Roman" w:cs="Times New Roman"/>
          <w:color w:val="222222"/>
          <w:sz w:val="24"/>
          <w:shd w:val="clear" w:color="auto" w:fill="FFFFFF"/>
          <w:lang w:val="en-IE"/>
        </w:rPr>
        <w:t>, C., &amp; Valdivia-</w:t>
      </w:r>
      <w:proofErr w:type="spellStart"/>
      <w:r w:rsidRPr="00137F04">
        <w:rPr>
          <w:rFonts w:ascii="Times New Roman" w:hAnsi="Times New Roman" w:cs="Times New Roman"/>
          <w:color w:val="222222"/>
          <w:sz w:val="24"/>
          <w:shd w:val="clear" w:color="auto" w:fill="FFFFFF"/>
          <w:lang w:val="en-IE"/>
        </w:rPr>
        <w:t>Vizarreta</w:t>
      </w:r>
      <w:proofErr w:type="spellEnd"/>
      <w:r w:rsidRPr="00137F04">
        <w:rPr>
          <w:rFonts w:ascii="Times New Roman" w:hAnsi="Times New Roman" w:cs="Times New Roman"/>
          <w:color w:val="222222"/>
          <w:sz w:val="24"/>
          <w:shd w:val="clear" w:color="auto" w:fill="FFFFFF"/>
          <w:lang w:val="en-IE"/>
        </w:rPr>
        <w:t>, P. (2023).Factors that enhance and limit youth empowerment, according to social educators. </w:t>
      </w:r>
      <w:r w:rsidRPr="00137F04">
        <w:rPr>
          <w:rFonts w:ascii="Times New Roman" w:hAnsi="Times New Roman" w:cs="Times New Roman"/>
          <w:i/>
          <w:iCs/>
          <w:color w:val="222222"/>
          <w:sz w:val="24"/>
          <w:shd w:val="clear" w:color="auto" w:fill="FFFFFF"/>
          <w:lang w:val="en-IE"/>
        </w:rPr>
        <w:t>Qualitative Research Journal</w:t>
      </w:r>
      <w:r w:rsidRPr="00137F04">
        <w:rPr>
          <w:rFonts w:ascii="Times New Roman" w:hAnsi="Times New Roman" w:cs="Times New Roman"/>
          <w:color w:val="222222"/>
          <w:sz w:val="24"/>
          <w:shd w:val="clear" w:color="auto" w:fill="FFFFFF"/>
          <w:lang w:val="en-IE"/>
        </w:rPr>
        <w:t>. DOI </w:t>
      </w:r>
      <w:hyperlink r:id="rId23" w:history="1">
        <w:r w:rsidRPr="00137F04">
          <w:rPr>
            <w:rStyle w:val="Hyperlink"/>
            <w:rFonts w:ascii="Times New Roman" w:hAnsi="Times New Roman" w:cs="Times New Roman"/>
            <w:sz w:val="24"/>
            <w:shd w:val="clear" w:color="auto" w:fill="FFFFFF"/>
            <w:lang w:val="en-IE"/>
          </w:rPr>
          <w:t>1108/QRJ-04-2023-0063</w:t>
        </w:r>
      </w:hyperlink>
    </w:p>
    <w:p w14:paraId="71620BE2" w14:textId="77777777" w:rsidR="00445BB4" w:rsidRPr="00137F04" w:rsidRDefault="00445BB4" w:rsidP="00445BB4">
      <w:pPr>
        <w:spacing w:line="480" w:lineRule="auto"/>
        <w:rPr>
          <w:rFonts w:ascii="Times New Roman" w:hAnsi="Times New Roman" w:cs="Times New Roman"/>
          <w:color w:val="222222"/>
          <w:sz w:val="24"/>
          <w:shd w:val="clear" w:color="auto" w:fill="FFFFFF"/>
          <w:lang w:val="es-ES"/>
        </w:rPr>
      </w:pPr>
      <w:r w:rsidRPr="00137F04">
        <w:rPr>
          <w:rFonts w:ascii="Times New Roman" w:hAnsi="Times New Roman" w:cs="Times New Roman"/>
          <w:color w:val="222222"/>
          <w:sz w:val="24"/>
          <w:shd w:val="clear" w:color="auto" w:fill="FFFFFF"/>
        </w:rPr>
        <w:t>Lundy, L. (2018). In defence of tokenism? Implementing children’s right to participate in collective decision-making. </w:t>
      </w:r>
      <w:r w:rsidRPr="00137F04">
        <w:rPr>
          <w:rFonts w:ascii="Times New Roman" w:hAnsi="Times New Roman" w:cs="Times New Roman"/>
          <w:i/>
          <w:iCs/>
          <w:color w:val="222222"/>
          <w:sz w:val="24"/>
          <w:shd w:val="clear" w:color="auto" w:fill="FFFFFF"/>
          <w:lang w:val="es-ES"/>
        </w:rPr>
        <w:t>Childhood</w:t>
      </w:r>
      <w:r w:rsidRPr="00137F04">
        <w:rPr>
          <w:rFonts w:ascii="Times New Roman" w:hAnsi="Times New Roman" w:cs="Times New Roman"/>
          <w:color w:val="222222"/>
          <w:sz w:val="24"/>
          <w:shd w:val="clear" w:color="auto" w:fill="FFFFFF"/>
          <w:lang w:val="es-ES"/>
        </w:rPr>
        <w:t>, </w:t>
      </w:r>
      <w:r w:rsidRPr="00137F04">
        <w:rPr>
          <w:rFonts w:ascii="Times New Roman" w:hAnsi="Times New Roman" w:cs="Times New Roman"/>
          <w:i/>
          <w:iCs/>
          <w:color w:val="222222"/>
          <w:sz w:val="24"/>
          <w:shd w:val="clear" w:color="auto" w:fill="FFFFFF"/>
          <w:lang w:val="es-ES"/>
        </w:rPr>
        <w:t>25</w:t>
      </w:r>
      <w:r w:rsidRPr="00137F04">
        <w:rPr>
          <w:rFonts w:ascii="Times New Roman" w:hAnsi="Times New Roman" w:cs="Times New Roman"/>
          <w:color w:val="222222"/>
          <w:sz w:val="24"/>
          <w:shd w:val="clear" w:color="auto" w:fill="FFFFFF"/>
          <w:lang w:val="es-ES"/>
        </w:rPr>
        <w:t>(3), 340-354.</w:t>
      </w:r>
    </w:p>
    <w:p w14:paraId="596EC088" w14:textId="77777777" w:rsidR="00445BB4" w:rsidRPr="00137F04" w:rsidRDefault="00445BB4" w:rsidP="00445BB4">
      <w:pPr>
        <w:spacing w:line="480" w:lineRule="auto"/>
        <w:rPr>
          <w:rFonts w:ascii="Times New Roman" w:hAnsi="Times New Roman" w:cs="Times New Roman"/>
          <w:color w:val="222222"/>
          <w:sz w:val="24"/>
          <w:shd w:val="clear" w:color="auto" w:fill="FFFFFF"/>
          <w:lang w:val="en-US"/>
        </w:rPr>
      </w:pPr>
      <w:r w:rsidRPr="00137F04">
        <w:rPr>
          <w:rFonts w:ascii="Times New Roman" w:hAnsi="Times New Roman" w:cs="Times New Roman"/>
          <w:color w:val="222222"/>
          <w:sz w:val="24"/>
          <w:shd w:val="clear" w:color="auto" w:fill="FFFFFF"/>
          <w:lang w:val="es-ES"/>
        </w:rPr>
        <w:t xml:space="preserve">Morcillo, L. (2026). La participació juvenil des de la perspectiva de les persones joves: Una aproximació qualitativa als relats, significats i experiències des de la pedagogia social crítica. </w:t>
      </w:r>
      <w:r w:rsidRPr="00137F04">
        <w:rPr>
          <w:rFonts w:ascii="Times New Roman" w:hAnsi="Times New Roman" w:cs="Times New Roman"/>
          <w:color w:val="222222"/>
          <w:sz w:val="24"/>
          <w:shd w:val="clear" w:color="auto" w:fill="FFFFFF"/>
          <w:lang w:val="en-US"/>
        </w:rPr>
        <w:t xml:space="preserve">Ph.D. Thesis, University of Girona, Catalonia, Spain. </w:t>
      </w:r>
    </w:p>
    <w:p w14:paraId="08DCFCBF" w14:textId="77777777" w:rsidR="00445BB4" w:rsidRPr="00137F04" w:rsidRDefault="00445BB4" w:rsidP="00445BB4">
      <w:pPr>
        <w:spacing w:line="480" w:lineRule="auto"/>
        <w:rPr>
          <w:rFonts w:ascii="Times New Roman" w:hAnsi="Times New Roman" w:cs="Times New Roman"/>
          <w:sz w:val="24"/>
          <w:shd w:val="clear" w:color="auto" w:fill="FFFFFF"/>
          <w:lang w:val="en-IE"/>
        </w:rPr>
      </w:pPr>
      <w:r w:rsidRPr="00137F04">
        <w:rPr>
          <w:rFonts w:ascii="Times New Roman" w:hAnsi="Times New Roman" w:cs="Times New Roman"/>
          <w:sz w:val="24"/>
          <w:shd w:val="clear" w:color="auto" w:fill="FFFFFF"/>
          <w:lang w:val="en-IE"/>
        </w:rPr>
        <w:t>Ord, J. (2007). Youth work process, product and practice. Creating an authentic curriculum in work with young people. Dorset: Russell House.</w:t>
      </w:r>
    </w:p>
    <w:p w14:paraId="20D8EEF9" w14:textId="77777777" w:rsidR="00445BB4" w:rsidRPr="00137F04" w:rsidRDefault="00445BB4" w:rsidP="00445BB4">
      <w:pPr>
        <w:autoSpaceDE w:val="0"/>
        <w:autoSpaceDN w:val="0"/>
        <w:adjustRightInd w:val="0"/>
        <w:spacing w:after="0" w:line="480" w:lineRule="auto"/>
        <w:rPr>
          <w:rFonts w:ascii="Times New Roman" w:hAnsi="Times New Roman" w:cs="Times New Roman"/>
          <w:sz w:val="24"/>
        </w:rPr>
      </w:pPr>
      <w:r w:rsidRPr="00137F04">
        <w:rPr>
          <w:rFonts w:ascii="Times New Roman" w:hAnsi="Times New Roman" w:cs="Times New Roman"/>
          <w:sz w:val="24"/>
          <w:lang w:val="en-US"/>
        </w:rPr>
        <w:t>Planas-</w:t>
      </w:r>
      <w:proofErr w:type="spellStart"/>
      <w:r w:rsidRPr="00137F04">
        <w:rPr>
          <w:rFonts w:ascii="Times New Roman" w:hAnsi="Times New Roman" w:cs="Times New Roman"/>
          <w:sz w:val="24"/>
          <w:lang w:val="en-US"/>
        </w:rPr>
        <w:t>Lladó</w:t>
      </w:r>
      <w:proofErr w:type="spellEnd"/>
      <w:r w:rsidRPr="00137F04">
        <w:rPr>
          <w:rFonts w:ascii="Times New Roman" w:hAnsi="Times New Roman" w:cs="Times New Roman"/>
          <w:sz w:val="24"/>
          <w:lang w:val="en-US"/>
        </w:rPr>
        <w:t xml:space="preserve">, A., &amp; </w:t>
      </w:r>
      <w:proofErr w:type="spellStart"/>
      <w:r w:rsidRPr="00137F04">
        <w:rPr>
          <w:rFonts w:ascii="Times New Roman" w:hAnsi="Times New Roman" w:cs="Times New Roman"/>
          <w:sz w:val="24"/>
          <w:lang w:val="en-US"/>
        </w:rPr>
        <w:t>Úcar</w:t>
      </w:r>
      <w:proofErr w:type="spellEnd"/>
      <w:r w:rsidRPr="00137F04">
        <w:rPr>
          <w:rFonts w:ascii="Times New Roman" w:hAnsi="Times New Roman" w:cs="Times New Roman"/>
          <w:sz w:val="24"/>
          <w:lang w:val="en-US"/>
        </w:rPr>
        <w:t xml:space="preserve">, X. (2022). </w:t>
      </w:r>
      <w:r w:rsidRPr="00137F04">
        <w:rPr>
          <w:rFonts w:ascii="Times New Roman" w:hAnsi="Times New Roman" w:cs="Times New Roman"/>
          <w:sz w:val="24"/>
        </w:rPr>
        <w:t xml:space="preserve">Evaluating Youth Empowerment: The Construction and Validation of an Inventory of Dimensions and Indicators. </w:t>
      </w:r>
      <w:r w:rsidRPr="00137F04">
        <w:rPr>
          <w:rFonts w:ascii="Times New Roman" w:hAnsi="Times New Roman" w:cs="Times New Roman"/>
          <w:i/>
          <w:iCs/>
          <w:sz w:val="24"/>
        </w:rPr>
        <w:t>American Journal of Evaluation</w:t>
      </w:r>
      <w:r w:rsidRPr="00137F04">
        <w:rPr>
          <w:rFonts w:ascii="Times New Roman" w:hAnsi="Times New Roman" w:cs="Times New Roman"/>
          <w:sz w:val="24"/>
        </w:rPr>
        <w:t>. Vol. 45(1) 86-109.</w:t>
      </w:r>
      <w:r w:rsidRPr="00137F04">
        <w:rPr>
          <w:rFonts w:ascii="Times New Roman" w:hAnsi="Times New Roman" w:cs="Times New Roman"/>
          <w:i/>
          <w:iCs/>
          <w:sz w:val="24"/>
        </w:rPr>
        <w:t xml:space="preserve"> </w:t>
      </w:r>
      <w:hyperlink r:id="rId24" w:history="1">
        <w:r w:rsidRPr="00137F04">
          <w:rPr>
            <w:rStyle w:val="Hyperlink"/>
            <w:rFonts w:ascii="Times New Roman" w:hAnsi="Times New Roman" w:cs="Times New Roman"/>
            <w:sz w:val="24"/>
          </w:rPr>
          <w:t>https://doi.org./10.1177/10982140211055643</w:t>
        </w:r>
      </w:hyperlink>
      <w:r w:rsidRPr="00137F04">
        <w:rPr>
          <w:rFonts w:ascii="Times New Roman" w:hAnsi="Times New Roman" w:cs="Times New Roman"/>
          <w:sz w:val="24"/>
        </w:rPr>
        <w:t xml:space="preserve"> </w:t>
      </w:r>
    </w:p>
    <w:p w14:paraId="62BA9497" w14:textId="77777777" w:rsidR="009E02E9" w:rsidRDefault="009E02E9" w:rsidP="00445BB4">
      <w:pPr>
        <w:autoSpaceDE w:val="0"/>
        <w:autoSpaceDN w:val="0"/>
        <w:adjustRightInd w:val="0"/>
        <w:spacing w:after="0" w:line="480" w:lineRule="auto"/>
        <w:rPr>
          <w:rFonts w:ascii="Times New Roman" w:hAnsi="Times New Roman" w:cs="Times New Roman"/>
          <w:sz w:val="24"/>
          <w:lang w:val="en-US"/>
        </w:rPr>
      </w:pPr>
    </w:p>
    <w:p w14:paraId="6F9A8E46" w14:textId="77777777" w:rsidR="009E02E9" w:rsidRDefault="009E02E9" w:rsidP="00445BB4">
      <w:pPr>
        <w:autoSpaceDE w:val="0"/>
        <w:autoSpaceDN w:val="0"/>
        <w:adjustRightInd w:val="0"/>
        <w:spacing w:after="0" w:line="480" w:lineRule="auto"/>
        <w:rPr>
          <w:rFonts w:ascii="Times New Roman" w:hAnsi="Times New Roman" w:cs="Times New Roman"/>
          <w:sz w:val="24"/>
          <w:lang w:val="en-US"/>
        </w:rPr>
      </w:pPr>
    </w:p>
    <w:p w14:paraId="1CE979E9" w14:textId="77777777" w:rsidR="009E02E9" w:rsidRDefault="009E02E9" w:rsidP="00445BB4">
      <w:pPr>
        <w:autoSpaceDE w:val="0"/>
        <w:autoSpaceDN w:val="0"/>
        <w:adjustRightInd w:val="0"/>
        <w:spacing w:after="0" w:line="480" w:lineRule="auto"/>
        <w:rPr>
          <w:rFonts w:ascii="Times New Roman" w:hAnsi="Times New Roman" w:cs="Times New Roman"/>
          <w:sz w:val="24"/>
          <w:lang w:val="en-US"/>
        </w:rPr>
      </w:pPr>
    </w:p>
    <w:p w14:paraId="3D549A27" w14:textId="175116EF" w:rsidR="00445BB4" w:rsidRPr="00137F04" w:rsidRDefault="00445BB4" w:rsidP="00445BB4">
      <w:pPr>
        <w:autoSpaceDE w:val="0"/>
        <w:autoSpaceDN w:val="0"/>
        <w:adjustRightInd w:val="0"/>
        <w:spacing w:after="0" w:line="480" w:lineRule="auto"/>
        <w:rPr>
          <w:rFonts w:ascii="Times New Roman" w:hAnsi="Times New Roman" w:cs="Times New Roman"/>
          <w:sz w:val="24"/>
          <w:lang w:val="en-US"/>
        </w:rPr>
      </w:pPr>
      <w:r w:rsidRPr="00137F04">
        <w:rPr>
          <w:rFonts w:ascii="Times New Roman" w:hAnsi="Times New Roman" w:cs="Times New Roman"/>
          <w:sz w:val="24"/>
          <w:lang w:val="en-US"/>
        </w:rPr>
        <w:t>Sala-Torrent, M., &amp; Planas-</w:t>
      </w:r>
      <w:proofErr w:type="spellStart"/>
      <w:r w:rsidRPr="00137F04">
        <w:rPr>
          <w:rFonts w:ascii="Times New Roman" w:hAnsi="Times New Roman" w:cs="Times New Roman"/>
          <w:sz w:val="24"/>
          <w:lang w:val="en-US"/>
        </w:rPr>
        <w:t>Lladó</w:t>
      </w:r>
      <w:proofErr w:type="spellEnd"/>
      <w:r w:rsidRPr="00137F04">
        <w:rPr>
          <w:rFonts w:ascii="Times New Roman" w:hAnsi="Times New Roman" w:cs="Times New Roman"/>
          <w:sz w:val="24"/>
          <w:lang w:val="en-US"/>
        </w:rPr>
        <w:t xml:space="preserve">, A. (2024). </w:t>
      </w:r>
      <w:r w:rsidRPr="00137F04">
        <w:rPr>
          <w:rFonts w:ascii="Times New Roman" w:hAnsi="Times New Roman" w:cs="Times New Roman"/>
          <w:sz w:val="24"/>
        </w:rPr>
        <w:t>Enhancing youth Voices: Exploring community participation through youth workers. </w:t>
      </w:r>
      <w:r w:rsidRPr="00137F04">
        <w:rPr>
          <w:rFonts w:ascii="Times New Roman" w:hAnsi="Times New Roman" w:cs="Times New Roman"/>
          <w:i/>
          <w:iCs/>
          <w:sz w:val="24"/>
        </w:rPr>
        <w:t>Children and Youth Services Review</w:t>
      </w:r>
      <w:r w:rsidRPr="00137F04">
        <w:rPr>
          <w:rFonts w:ascii="Times New Roman" w:hAnsi="Times New Roman" w:cs="Times New Roman"/>
          <w:sz w:val="24"/>
        </w:rPr>
        <w:t>, </w:t>
      </w:r>
      <w:r w:rsidRPr="00137F04">
        <w:rPr>
          <w:rFonts w:ascii="Times New Roman" w:hAnsi="Times New Roman" w:cs="Times New Roman"/>
          <w:i/>
          <w:iCs/>
          <w:sz w:val="24"/>
        </w:rPr>
        <w:t>160</w:t>
      </w:r>
      <w:r w:rsidRPr="00137F04">
        <w:rPr>
          <w:rFonts w:ascii="Times New Roman" w:hAnsi="Times New Roman" w:cs="Times New Roman"/>
          <w:sz w:val="24"/>
        </w:rPr>
        <w:t xml:space="preserve">, 107600. </w:t>
      </w:r>
      <w:hyperlink r:id="rId25" w:history="1">
        <w:r w:rsidRPr="00137F04">
          <w:rPr>
            <w:rStyle w:val="Hyperlink"/>
            <w:rFonts w:ascii="Times New Roman" w:hAnsi="Times New Roman" w:cs="Times New Roman"/>
            <w:sz w:val="24"/>
            <w:lang w:val="en-US"/>
          </w:rPr>
          <w:t>https://doi.org/10.1016/j.childyouth.2024.107600</w:t>
        </w:r>
      </w:hyperlink>
      <w:r w:rsidRPr="00137F04">
        <w:rPr>
          <w:rFonts w:ascii="Times New Roman" w:hAnsi="Times New Roman" w:cs="Times New Roman"/>
          <w:sz w:val="24"/>
          <w:lang w:val="en-US"/>
        </w:rPr>
        <w:t xml:space="preserve"> </w:t>
      </w:r>
    </w:p>
    <w:p w14:paraId="71AA9FE2" w14:textId="77777777" w:rsidR="00445BB4" w:rsidRDefault="00445BB4" w:rsidP="00445BB4">
      <w:pPr>
        <w:spacing w:line="480" w:lineRule="auto"/>
        <w:rPr>
          <w:rFonts w:ascii="Times New Roman" w:hAnsi="Times New Roman" w:cs="Times New Roman"/>
          <w:sz w:val="24"/>
          <w:shd w:val="clear" w:color="auto" w:fill="FFFFFF"/>
          <w:lang w:val="en-IE"/>
        </w:rPr>
      </w:pPr>
      <w:r w:rsidRPr="00137F04">
        <w:rPr>
          <w:rFonts w:ascii="Times New Roman" w:hAnsi="Times New Roman" w:cs="Times New Roman"/>
          <w:sz w:val="24"/>
          <w:shd w:val="clear" w:color="auto" w:fill="FFFFFF"/>
          <w:lang w:val="es-ES"/>
        </w:rPr>
        <w:t xml:space="preserve">Sala-Torrent, M., Planas-Lladó, A., Soler-Masó, P., &amp; Gómez, C. (2024). </w:t>
      </w:r>
      <w:r w:rsidRPr="00137F04">
        <w:rPr>
          <w:rFonts w:ascii="Times New Roman" w:hAnsi="Times New Roman" w:cs="Times New Roman"/>
          <w:sz w:val="24"/>
          <w:shd w:val="clear" w:color="auto" w:fill="FFFFFF"/>
          <w:lang w:val="en-IE"/>
        </w:rPr>
        <w:t xml:space="preserve">Evaluation of Youth Empowerment Projects From an Educators’ Perspective. </w:t>
      </w:r>
      <w:r w:rsidRPr="00137F04">
        <w:rPr>
          <w:rFonts w:ascii="Times New Roman" w:hAnsi="Times New Roman" w:cs="Times New Roman"/>
          <w:i/>
          <w:iCs/>
          <w:sz w:val="24"/>
          <w:shd w:val="clear" w:color="auto" w:fill="FFFFFF"/>
          <w:lang w:val="en-IE"/>
        </w:rPr>
        <w:t>Research on Social Work Practice</w:t>
      </w:r>
      <w:r w:rsidRPr="00137F04">
        <w:rPr>
          <w:rFonts w:ascii="Times New Roman" w:hAnsi="Times New Roman" w:cs="Times New Roman"/>
          <w:sz w:val="24"/>
          <w:shd w:val="clear" w:color="auto" w:fill="FFFFFF"/>
          <w:lang w:val="en-IE"/>
        </w:rPr>
        <w:t xml:space="preserve">, </w:t>
      </w:r>
      <w:r w:rsidRPr="00137F04">
        <w:rPr>
          <w:rFonts w:ascii="Times New Roman" w:hAnsi="Times New Roman" w:cs="Times New Roman"/>
          <w:i/>
          <w:iCs/>
          <w:sz w:val="24"/>
          <w:shd w:val="clear" w:color="auto" w:fill="FFFFFF"/>
          <w:lang w:val="en-IE"/>
        </w:rPr>
        <w:t>34</w:t>
      </w:r>
      <w:r w:rsidRPr="00137F04">
        <w:rPr>
          <w:rFonts w:ascii="Times New Roman" w:hAnsi="Times New Roman" w:cs="Times New Roman"/>
          <w:sz w:val="24"/>
          <w:shd w:val="clear" w:color="auto" w:fill="FFFFFF"/>
          <w:lang w:val="en-IE"/>
        </w:rPr>
        <w:t xml:space="preserve">(1), 70-83. </w:t>
      </w:r>
      <w:hyperlink r:id="rId26" w:history="1">
        <w:r w:rsidRPr="00137F04">
          <w:rPr>
            <w:rStyle w:val="Hyperlink"/>
            <w:rFonts w:ascii="Times New Roman" w:hAnsi="Times New Roman" w:cs="Times New Roman"/>
            <w:sz w:val="24"/>
            <w:shd w:val="clear" w:color="auto" w:fill="FFFFFF"/>
            <w:lang w:val="en-IE"/>
          </w:rPr>
          <w:t>https://doi.org/10.1177/10497315221147532</w:t>
        </w:r>
      </w:hyperlink>
    </w:p>
    <w:p w14:paraId="39C49983" w14:textId="77777777" w:rsidR="00445BB4" w:rsidRPr="00B749C4" w:rsidRDefault="00445BB4" w:rsidP="00445BB4">
      <w:pPr>
        <w:spacing w:line="480" w:lineRule="auto"/>
        <w:rPr>
          <w:rFonts w:ascii="Times New Roman" w:hAnsi="Times New Roman" w:cs="Times New Roman"/>
          <w:sz w:val="24"/>
          <w:shd w:val="clear" w:color="auto" w:fill="FFFFFF"/>
          <w:lang w:val="en-IE"/>
        </w:rPr>
      </w:pPr>
      <w:r w:rsidRPr="00137F04">
        <w:rPr>
          <w:rFonts w:ascii="Times New Roman" w:hAnsi="Times New Roman" w:cs="Times New Roman"/>
          <w:sz w:val="24"/>
        </w:rPr>
        <w:t>Sheridan, L. Youth Participation in North Ayrshire, Scotland, From a Freirean Perspective. Ph.D. Thesis, University of Glasgow, Glasgow, UK, 2018.</w:t>
      </w:r>
    </w:p>
    <w:p w14:paraId="46420C88" w14:textId="77777777" w:rsidR="00445BB4" w:rsidRPr="00137F04" w:rsidRDefault="00445BB4" w:rsidP="00445BB4">
      <w:pPr>
        <w:autoSpaceDE w:val="0"/>
        <w:autoSpaceDN w:val="0"/>
        <w:adjustRightInd w:val="0"/>
        <w:spacing w:after="0" w:line="480" w:lineRule="auto"/>
        <w:rPr>
          <w:rFonts w:ascii="Times New Roman" w:hAnsi="Times New Roman" w:cs="Times New Roman"/>
          <w:sz w:val="24"/>
        </w:rPr>
      </w:pPr>
      <w:r w:rsidRPr="00137F04">
        <w:rPr>
          <w:rFonts w:ascii="Times New Roman" w:hAnsi="Times New Roman" w:cs="Times New Roman"/>
          <w:sz w:val="24"/>
        </w:rPr>
        <w:t xml:space="preserve">Sheridan, L., &amp; Mungai, M. (2021). Teacher-Student Reflections: A Critical Conversation about Values and Cultural Awareness in Community Development Work, and Implications for Teaching and Practice. Education Sciences, 11(9), 526. </w:t>
      </w:r>
      <w:hyperlink r:id="rId27" w:history="1">
        <w:r w:rsidRPr="00137F04">
          <w:rPr>
            <w:rStyle w:val="Hyperlink"/>
            <w:rFonts w:ascii="Times New Roman" w:hAnsi="Times New Roman" w:cs="Times New Roman"/>
            <w:sz w:val="24"/>
          </w:rPr>
          <w:t>https://doi.org/10.3390/educsci11090526</w:t>
        </w:r>
      </w:hyperlink>
    </w:p>
    <w:p w14:paraId="6EE7A45B" w14:textId="77777777" w:rsidR="00445BB4" w:rsidRPr="00137F04" w:rsidRDefault="00445BB4" w:rsidP="00445BB4">
      <w:pPr>
        <w:autoSpaceDE w:val="0"/>
        <w:autoSpaceDN w:val="0"/>
        <w:adjustRightInd w:val="0"/>
        <w:spacing w:after="0" w:line="480" w:lineRule="auto"/>
        <w:rPr>
          <w:rFonts w:ascii="Times New Roman" w:hAnsi="Times New Roman" w:cs="Times New Roman"/>
          <w:sz w:val="24"/>
          <w:shd w:val="clear" w:color="auto" w:fill="FFFFFF"/>
          <w:lang w:val="es-ES"/>
        </w:rPr>
      </w:pPr>
      <w:proofErr w:type="spellStart"/>
      <w:r w:rsidRPr="00137F04">
        <w:rPr>
          <w:rFonts w:ascii="Times New Roman" w:hAnsi="Times New Roman" w:cs="Times New Roman"/>
          <w:sz w:val="24"/>
        </w:rPr>
        <w:t>Sheykhi</w:t>
      </w:r>
      <w:proofErr w:type="spellEnd"/>
      <w:r w:rsidRPr="00137F04">
        <w:rPr>
          <w:rFonts w:ascii="Times New Roman" w:hAnsi="Times New Roman" w:cs="Times New Roman"/>
          <w:sz w:val="24"/>
        </w:rPr>
        <w:t xml:space="preserve">, M. T. (2021) Observation of Youth in Sociological Context J, Clinical Medical Reviews and Reports. </w:t>
      </w:r>
      <w:r w:rsidRPr="00137F04">
        <w:rPr>
          <w:rFonts w:ascii="Times New Roman" w:hAnsi="Times New Roman" w:cs="Times New Roman"/>
          <w:sz w:val="24"/>
          <w:lang w:val="es-ES"/>
        </w:rPr>
        <w:t xml:space="preserve">3(7). </w:t>
      </w:r>
      <w:hyperlink r:id="rId28" w:history="1">
        <w:r w:rsidRPr="00137F04">
          <w:rPr>
            <w:rStyle w:val="Hyperlink"/>
            <w:rFonts w:ascii="Times New Roman" w:hAnsi="Times New Roman" w:cs="Times New Roman"/>
            <w:sz w:val="24"/>
            <w:shd w:val="clear" w:color="auto" w:fill="FFFFFF"/>
            <w:lang w:val="es-ES"/>
          </w:rPr>
          <w:t>https://doi.org/10.31579/2690-8794/091</w:t>
        </w:r>
      </w:hyperlink>
      <w:r w:rsidRPr="00137F04">
        <w:rPr>
          <w:rFonts w:ascii="Times New Roman" w:hAnsi="Times New Roman" w:cs="Times New Roman"/>
          <w:sz w:val="24"/>
          <w:shd w:val="clear" w:color="auto" w:fill="FFFFFF"/>
          <w:lang w:val="es-ES"/>
        </w:rPr>
        <w:t xml:space="preserve"> </w:t>
      </w:r>
    </w:p>
    <w:p w14:paraId="479926ED" w14:textId="77777777" w:rsidR="00445BB4" w:rsidRPr="00137F04" w:rsidRDefault="00445BB4" w:rsidP="00445BB4">
      <w:pPr>
        <w:autoSpaceDE w:val="0"/>
        <w:autoSpaceDN w:val="0"/>
        <w:adjustRightInd w:val="0"/>
        <w:spacing w:after="0" w:line="480" w:lineRule="auto"/>
        <w:rPr>
          <w:rFonts w:ascii="Times New Roman" w:hAnsi="Times New Roman" w:cs="Times New Roman"/>
          <w:sz w:val="24"/>
          <w:lang w:val="es-ES"/>
        </w:rPr>
      </w:pPr>
      <w:r w:rsidRPr="00137F04">
        <w:rPr>
          <w:rFonts w:ascii="Times New Roman" w:hAnsi="Times New Roman" w:cs="Times New Roman"/>
          <w:sz w:val="24"/>
          <w:lang w:val="es-ES"/>
        </w:rPr>
        <w:t xml:space="preserve">Soler, P., Trilla, J., Jiménez-Morales, M., &amp; Úcar, X. (2017). La construcción de un modelo pedagógico del empoderamiento juvenil: espacios, momentos y procesos. </w:t>
      </w:r>
      <w:r w:rsidRPr="00137F04">
        <w:rPr>
          <w:rFonts w:ascii="Times New Roman" w:hAnsi="Times New Roman" w:cs="Times New Roman"/>
          <w:i/>
          <w:iCs/>
          <w:sz w:val="24"/>
          <w:lang w:val="es-ES"/>
        </w:rPr>
        <w:t>Pedagogía Social. Revista Interuniversitaria</w:t>
      </w:r>
      <w:r w:rsidRPr="00137F04">
        <w:rPr>
          <w:rFonts w:ascii="Times New Roman" w:hAnsi="Times New Roman" w:cs="Times New Roman"/>
          <w:sz w:val="24"/>
          <w:lang w:val="es-ES"/>
        </w:rPr>
        <w:t xml:space="preserve">, </w:t>
      </w:r>
      <w:r w:rsidRPr="00137F04">
        <w:rPr>
          <w:rFonts w:ascii="Times New Roman" w:hAnsi="Times New Roman" w:cs="Times New Roman"/>
          <w:b/>
          <w:bCs/>
          <w:sz w:val="24"/>
          <w:lang w:val="es-ES"/>
        </w:rPr>
        <w:t>30</w:t>
      </w:r>
      <w:r w:rsidRPr="00137F04">
        <w:rPr>
          <w:rFonts w:ascii="Times New Roman" w:hAnsi="Times New Roman" w:cs="Times New Roman"/>
          <w:sz w:val="24"/>
          <w:lang w:val="es-ES"/>
        </w:rPr>
        <w:t xml:space="preserve">, 19-34. </w:t>
      </w:r>
    </w:p>
    <w:p w14:paraId="59773347" w14:textId="77777777" w:rsidR="00445BB4" w:rsidRPr="00137F04" w:rsidRDefault="00445BB4" w:rsidP="00445BB4">
      <w:pPr>
        <w:spacing w:line="480" w:lineRule="auto"/>
        <w:rPr>
          <w:rFonts w:ascii="Times New Roman" w:hAnsi="Times New Roman" w:cs="Times New Roman"/>
          <w:sz w:val="24"/>
          <w:shd w:val="clear" w:color="auto" w:fill="FFFFFF"/>
          <w:lang w:val="en-IE"/>
        </w:rPr>
      </w:pPr>
      <w:r w:rsidRPr="00137F04">
        <w:rPr>
          <w:rFonts w:ascii="Times New Roman" w:hAnsi="Times New Roman" w:cs="Times New Roman"/>
          <w:sz w:val="24"/>
          <w:shd w:val="clear" w:color="auto" w:fill="FFFFFF"/>
          <w:lang w:val="es-ES"/>
        </w:rPr>
        <w:t xml:space="preserve">Trull-Oliva, C., Fabra-Fres, M. N., Núñez, H., &amp; Corbella, L. (2025). </w:t>
      </w:r>
      <w:r w:rsidRPr="00137F04">
        <w:rPr>
          <w:rFonts w:ascii="Times New Roman" w:hAnsi="Times New Roman" w:cs="Times New Roman"/>
          <w:sz w:val="24"/>
          <w:shd w:val="clear" w:color="auto" w:fill="FFFFFF"/>
          <w:lang w:val="en-IE"/>
        </w:rPr>
        <w:t>The Sense of Community in the Improvement of Youth Empowerment: Contributions from a Socio-Educational Research Experience. </w:t>
      </w:r>
      <w:r w:rsidRPr="00137F04">
        <w:rPr>
          <w:rFonts w:ascii="Times New Roman" w:hAnsi="Times New Roman" w:cs="Times New Roman"/>
          <w:i/>
          <w:iCs/>
          <w:sz w:val="24"/>
          <w:shd w:val="clear" w:color="auto" w:fill="FFFFFF"/>
          <w:lang w:val="en-IE"/>
        </w:rPr>
        <w:t>Journal of Community Practice</w:t>
      </w:r>
      <w:r w:rsidRPr="00137F04">
        <w:rPr>
          <w:rFonts w:ascii="Times New Roman" w:hAnsi="Times New Roman" w:cs="Times New Roman"/>
          <w:sz w:val="24"/>
          <w:shd w:val="clear" w:color="auto" w:fill="FFFFFF"/>
          <w:lang w:val="en-IE"/>
        </w:rPr>
        <w:t>, </w:t>
      </w:r>
      <w:r w:rsidRPr="00137F04">
        <w:rPr>
          <w:rFonts w:ascii="Times New Roman" w:hAnsi="Times New Roman" w:cs="Times New Roman"/>
          <w:i/>
          <w:iCs/>
          <w:sz w:val="24"/>
          <w:shd w:val="clear" w:color="auto" w:fill="FFFFFF"/>
          <w:lang w:val="en-IE"/>
        </w:rPr>
        <w:t>33</w:t>
      </w:r>
      <w:r w:rsidRPr="00137F04">
        <w:rPr>
          <w:rFonts w:ascii="Times New Roman" w:hAnsi="Times New Roman" w:cs="Times New Roman"/>
          <w:sz w:val="24"/>
          <w:shd w:val="clear" w:color="auto" w:fill="FFFFFF"/>
          <w:lang w:val="en-IE"/>
        </w:rPr>
        <w:t xml:space="preserve">(4), 467–486. </w:t>
      </w:r>
      <w:hyperlink r:id="rId29" w:history="1">
        <w:r w:rsidRPr="00137F04">
          <w:rPr>
            <w:rStyle w:val="Hyperlink"/>
            <w:rFonts w:ascii="Times New Roman" w:hAnsi="Times New Roman" w:cs="Times New Roman"/>
            <w:sz w:val="24"/>
            <w:shd w:val="clear" w:color="auto" w:fill="FFFFFF"/>
            <w:lang w:val="en-IE"/>
          </w:rPr>
          <w:t>https://doi.org/10.1080/10705422.2025.2605320</w:t>
        </w:r>
      </w:hyperlink>
      <w:r w:rsidRPr="00137F04">
        <w:rPr>
          <w:rFonts w:ascii="Times New Roman" w:hAnsi="Times New Roman" w:cs="Times New Roman"/>
          <w:sz w:val="24"/>
          <w:shd w:val="clear" w:color="auto" w:fill="FFFFFF"/>
          <w:lang w:val="en-IE"/>
        </w:rPr>
        <w:t xml:space="preserve"> </w:t>
      </w:r>
    </w:p>
    <w:p w14:paraId="4CF71B2F" w14:textId="77777777" w:rsidR="00445BB4" w:rsidRPr="00137F04" w:rsidRDefault="00445BB4" w:rsidP="00445BB4">
      <w:pPr>
        <w:spacing w:line="480" w:lineRule="auto"/>
        <w:rPr>
          <w:rFonts w:ascii="Times New Roman" w:hAnsi="Times New Roman" w:cs="Times New Roman"/>
          <w:sz w:val="24"/>
          <w:shd w:val="clear" w:color="auto" w:fill="FFFFFF"/>
          <w:lang w:val="en-IE"/>
        </w:rPr>
      </w:pPr>
      <w:r w:rsidRPr="00137F04">
        <w:rPr>
          <w:rFonts w:ascii="Times New Roman" w:hAnsi="Times New Roman" w:cs="Times New Roman"/>
          <w:sz w:val="24"/>
          <w:shd w:val="clear" w:color="auto" w:fill="FFFFFF"/>
        </w:rPr>
        <w:t>United Nations. General Assembly, &amp; Canada. Human Rights Directorate. (1991). </w:t>
      </w:r>
      <w:r w:rsidRPr="00137F04">
        <w:rPr>
          <w:rFonts w:ascii="Times New Roman" w:hAnsi="Times New Roman" w:cs="Times New Roman"/>
          <w:i/>
          <w:iCs/>
          <w:sz w:val="24"/>
          <w:shd w:val="clear" w:color="auto" w:fill="FFFFFF"/>
        </w:rPr>
        <w:t>Convention on the rights of the child</w:t>
      </w:r>
      <w:r w:rsidRPr="00137F04">
        <w:rPr>
          <w:rFonts w:ascii="Times New Roman" w:hAnsi="Times New Roman" w:cs="Times New Roman"/>
          <w:sz w:val="24"/>
          <w:shd w:val="clear" w:color="auto" w:fill="FFFFFF"/>
        </w:rPr>
        <w:t>. Human Rights Directorate.</w:t>
      </w:r>
    </w:p>
    <w:p w14:paraId="68036093" w14:textId="77777777" w:rsidR="009E02E9" w:rsidRDefault="009E02E9" w:rsidP="00445BB4">
      <w:pPr>
        <w:spacing w:line="480" w:lineRule="auto"/>
        <w:rPr>
          <w:rFonts w:ascii="Times New Roman" w:hAnsi="Times New Roman" w:cs="Times New Roman"/>
          <w:sz w:val="24"/>
          <w:lang w:val="en-IE"/>
        </w:rPr>
      </w:pPr>
    </w:p>
    <w:p w14:paraId="3EDAC599" w14:textId="43F6A421" w:rsidR="00445BB4" w:rsidRPr="00137F04" w:rsidRDefault="00445BB4" w:rsidP="00445BB4">
      <w:pPr>
        <w:spacing w:line="480" w:lineRule="auto"/>
        <w:rPr>
          <w:rFonts w:ascii="Times New Roman" w:hAnsi="Times New Roman" w:cs="Times New Roman"/>
          <w:sz w:val="24"/>
          <w:lang w:val="en-IE"/>
        </w:rPr>
      </w:pPr>
      <w:r w:rsidRPr="00137F04">
        <w:rPr>
          <w:rFonts w:ascii="Times New Roman" w:hAnsi="Times New Roman" w:cs="Times New Roman"/>
          <w:sz w:val="24"/>
          <w:lang w:val="en-IE"/>
        </w:rPr>
        <w:t>Valdivia-</w:t>
      </w:r>
      <w:proofErr w:type="spellStart"/>
      <w:r w:rsidRPr="00137F04">
        <w:rPr>
          <w:rFonts w:ascii="Times New Roman" w:hAnsi="Times New Roman" w:cs="Times New Roman"/>
          <w:sz w:val="24"/>
          <w:lang w:val="en-IE"/>
        </w:rPr>
        <w:t>Vizarreta</w:t>
      </w:r>
      <w:proofErr w:type="spellEnd"/>
      <w:r w:rsidRPr="00137F04">
        <w:rPr>
          <w:rFonts w:ascii="Times New Roman" w:hAnsi="Times New Roman" w:cs="Times New Roman"/>
          <w:sz w:val="24"/>
          <w:lang w:val="en-IE"/>
        </w:rPr>
        <w:t xml:space="preserve"> P, Carrera-</w:t>
      </w:r>
      <w:proofErr w:type="spellStart"/>
      <w:r w:rsidRPr="00137F04">
        <w:rPr>
          <w:rFonts w:ascii="Times New Roman" w:hAnsi="Times New Roman" w:cs="Times New Roman"/>
          <w:sz w:val="24"/>
          <w:lang w:val="en-IE"/>
        </w:rPr>
        <w:t>Fossas</w:t>
      </w:r>
      <w:proofErr w:type="spellEnd"/>
      <w:r w:rsidRPr="00137F04">
        <w:rPr>
          <w:rFonts w:ascii="Times New Roman" w:hAnsi="Times New Roman" w:cs="Times New Roman"/>
          <w:sz w:val="24"/>
          <w:lang w:val="en-IE"/>
        </w:rPr>
        <w:t xml:space="preserve"> E, Sala Torrent M, Planas A (2025), "Balancing individual and community dimensions: educators’ narratives on youth empowerment". </w:t>
      </w:r>
      <w:r w:rsidRPr="00137F04">
        <w:rPr>
          <w:rFonts w:ascii="Times New Roman" w:hAnsi="Times New Roman" w:cs="Times New Roman"/>
          <w:i/>
          <w:iCs/>
          <w:sz w:val="24"/>
          <w:lang w:val="en-IE"/>
        </w:rPr>
        <w:t>Education + Training</w:t>
      </w:r>
      <w:r w:rsidRPr="00137F04">
        <w:rPr>
          <w:rFonts w:ascii="Times New Roman" w:hAnsi="Times New Roman" w:cs="Times New Roman"/>
          <w:sz w:val="24"/>
          <w:lang w:val="en-IE"/>
        </w:rPr>
        <w:t xml:space="preserve">, Vol. 67 No. 7-8 pp. 737–751, </w:t>
      </w:r>
      <w:proofErr w:type="spellStart"/>
      <w:r w:rsidRPr="00137F04">
        <w:rPr>
          <w:rFonts w:ascii="Times New Roman" w:hAnsi="Times New Roman" w:cs="Times New Roman"/>
          <w:sz w:val="24"/>
          <w:lang w:val="en-IE"/>
        </w:rPr>
        <w:t>doi</w:t>
      </w:r>
      <w:proofErr w:type="spellEnd"/>
      <w:r w:rsidRPr="00137F04">
        <w:rPr>
          <w:rFonts w:ascii="Times New Roman" w:hAnsi="Times New Roman" w:cs="Times New Roman"/>
          <w:sz w:val="24"/>
          <w:lang w:val="en-IE"/>
        </w:rPr>
        <w:t>: </w:t>
      </w:r>
      <w:hyperlink r:id="rId30" w:tgtFrame="_blank" w:history="1">
        <w:r w:rsidRPr="00137F04">
          <w:rPr>
            <w:rStyle w:val="Hyperlink"/>
            <w:rFonts w:ascii="Times New Roman" w:hAnsi="Times New Roman" w:cs="Times New Roman"/>
            <w:sz w:val="24"/>
            <w:lang w:val="en-IE"/>
          </w:rPr>
          <w:t>https://doi.org/10.1108/ET-05-2024-0244</w:t>
        </w:r>
      </w:hyperlink>
    </w:p>
    <w:p w14:paraId="69DB4B28" w14:textId="77777777" w:rsidR="00445BB4" w:rsidRPr="00137F04" w:rsidRDefault="00445BB4" w:rsidP="00445BB4">
      <w:pPr>
        <w:spacing w:line="480" w:lineRule="auto"/>
        <w:rPr>
          <w:rFonts w:ascii="Times New Roman" w:hAnsi="Times New Roman" w:cs="Times New Roman"/>
          <w:sz w:val="24"/>
          <w:highlight w:val="yellow"/>
          <w:shd w:val="clear" w:color="auto" w:fill="FFFFFF"/>
          <w:lang w:val="en-IE"/>
        </w:rPr>
      </w:pPr>
      <w:r w:rsidRPr="00137F04">
        <w:rPr>
          <w:rFonts w:ascii="Times New Roman" w:hAnsi="Times New Roman" w:cs="Times New Roman"/>
          <w:sz w:val="24"/>
          <w:shd w:val="clear" w:color="auto" w:fill="FFFFFF"/>
          <w:lang w:val="en-IE"/>
        </w:rPr>
        <w:t xml:space="preserve">Ward, S., McBride, M. and Watson, N. (2024) Evaluating youth empowerment in neighbourhood settings: applying the capabilities 3C model to evidence and extend the social justice outcomes of youth work in Scotland. </w:t>
      </w:r>
      <w:r w:rsidRPr="00137F04">
        <w:rPr>
          <w:rFonts w:ascii="Times New Roman" w:hAnsi="Times New Roman" w:cs="Times New Roman"/>
          <w:i/>
          <w:iCs/>
          <w:sz w:val="24"/>
          <w:shd w:val="clear" w:color="auto" w:fill="FFFFFF"/>
          <w:lang w:val="en-IE"/>
        </w:rPr>
        <w:t>Journal of Youth Studies, 27</w:t>
      </w:r>
      <w:r w:rsidRPr="00137F04">
        <w:rPr>
          <w:rFonts w:ascii="Times New Roman" w:hAnsi="Times New Roman" w:cs="Times New Roman"/>
          <w:sz w:val="24"/>
          <w:shd w:val="clear" w:color="auto" w:fill="FFFFFF"/>
          <w:lang w:val="en-IE"/>
        </w:rPr>
        <w:t>(1), pp. 125- 140. (</w:t>
      </w:r>
      <w:proofErr w:type="spellStart"/>
      <w:r w:rsidRPr="00137F04">
        <w:rPr>
          <w:rFonts w:ascii="Times New Roman" w:hAnsi="Times New Roman" w:cs="Times New Roman"/>
          <w:sz w:val="24"/>
          <w:shd w:val="clear" w:color="auto" w:fill="FFFFFF"/>
          <w:lang w:val="en-IE"/>
        </w:rPr>
        <w:t>doi</w:t>
      </w:r>
      <w:proofErr w:type="spellEnd"/>
      <w:r w:rsidRPr="00137F04">
        <w:rPr>
          <w:rFonts w:ascii="Times New Roman" w:hAnsi="Times New Roman" w:cs="Times New Roman"/>
          <w:sz w:val="24"/>
          <w:shd w:val="clear" w:color="auto" w:fill="FFFFFF"/>
          <w:lang w:val="en-IE"/>
        </w:rPr>
        <w:t>: 10.1080/13676261.2022.2112160)</w:t>
      </w:r>
    </w:p>
    <w:p w14:paraId="1CDF2FCD" w14:textId="77777777" w:rsidR="00445BB4" w:rsidRPr="00137F04" w:rsidRDefault="00445BB4" w:rsidP="00445BB4">
      <w:pPr>
        <w:spacing w:line="480" w:lineRule="auto"/>
        <w:rPr>
          <w:rFonts w:ascii="Times New Roman" w:hAnsi="Times New Roman" w:cs="Times New Roman"/>
          <w:color w:val="222222"/>
          <w:sz w:val="24"/>
          <w:shd w:val="clear" w:color="auto" w:fill="FFFFFF"/>
        </w:rPr>
      </w:pPr>
      <w:r w:rsidRPr="00137F04">
        <w:rPr>
          <w:rFonts w:ascii="Times New Roman" w:hAnsi="Times New Roman" w:cs="Times New Roman"/>
          <w:color w:val="222222"/>
          <w:sz w:val="24"/>
          <w:shd w:val="clear" w:color="auto" w:fill="FFFFFF"/>
        </w:rPr>
        <w:t>Yin, R.K. 2012. Applications of Case Study Research 3rd Ed. London: Sage Publications</w:t>
      </w:r>
    </w:p>
    <w:p w14:paraId="39397F06" w14:textId="77777777" w:rsidR="00445BB4" w:rsidRPr="00137F04" w:rsidRDefault="00445BB4" w:rsidP="00445BB4">
      <w:pPr>
        <w:autoSpaceDE w:val="0"/>
        <w:autoSpaceDN w:val="0"/>
        <w:adjustRightInd w:val="0"/>
        <w:spacing w:after="0" w:line="480" w:lineRule="auto"/>
        <w:rPr>
          <w:rFonts w:ascii="Times New Roman" w:hAnsi="Times New Roman" w:cs="Times New Roman"/>
          <w:sz w:val="24"/>
        </w:rPr>
      </w:pPr>
      <w:r w:rsidRPr="00137F04">
        <w:rPr>
          <w:rFonts w:ascii="Times New Roman" w:hAnsi="Times New Roman" w:cs="Times New Roman"/>
          <w:sz w:val="24"/>
        </w:rPr>
        <w:t xml:space="preserve">Zimmerman M.A. (2000) Empowerment Theory. In J. Rappaport &amp; E. Seidman (Eds.), </w:t>
      </w:r>
      <w:r w:rsidRPr="00137F04">
        <w:rPr>
          <w:rFonts w:ascii="Times New Roman" w:hAnsi="Times New Roman" w:cs="Times New Roman"/>
          <w:i/>
          <w:iCs/>
          <w:sz w:val="24"/>
        </w:rPr>
        <w:t>Handbook of Community Psychology</w:t>
      </w:r>
      <w:r w:rsidRPr="00137F04">
        <w:rPr>
          <w:rFonts w:ascii="Times New Roman" w:hAnsi="Times New Roman" w:cs="Times New Roman"/>
          <w:sz w:val="24"/>
        </w:rPr>
        <w:t xml:space="preserve">. Springer. </w:t>
      </w:r>
      <w:hyperlink r:id="rId31" w:history="1">
        <w:r w:rsidRPr="00137F04">
          <w:rPr>
            <w:rStyle w:val="Hyperlink"/>
            <w:rFonts w:ascii="Times New Roman" w:hAnsi="Times New Roman" w:cs="Times New Roman"/>
            <w:sz w:val="24"/>
          </w:rPr>
          <w:t>https://doi.org/10.1007/978-1-4615-4193-6_2</w:t>
        </w:r>
      </w:hyperlink>
      <w:r w:rsidRPr="00137F04">
        <w:rPr>
          <w:rFonts w:ascii="Times New Roman" w:hAnsi="Times New Roman" w:cs="Times New Roman"/>
          <w:sz w:val="24"/>
        </w:rPr>
        <w:t xml:space="preserve"> </w:t>
      </w:r>
    </w:p>
    <w:p w14:paraId="6DCAE1D1" w14:textId="77777777" w:rsidR="00445BB4" w:rsidRPr="00137F04" w:rsidRDefault="00445BB4" w:rsidP="00445BB4">
      <w:pPr>
        <w:spacing w:line="480" w:lineRule="auto"/>
        <w:rPr>
          <w:rFonts w:ascii="Times New Roman" w:hAnsi="Times New Roman" w:cs="Times New Roman"/>
          <w:sz w:val="24"/>
        </w:rPr>
      </w:pPr>
    </w:p>
    <w:p w14:paraId="1B460A8F" w14:textId="77777777" w:rsidR="00445BB4" w:rsidRPr="00137F04" w:rsidRDefault="00445BB4" w:rsidP="00445BB4">
      <w:pPr>
        <w:spacing w:line="480" w:lineRule="auto"/>
        <w:rPr>
          <w:rFonts w:ascii="Times New Roman" w:hAnsi="Times New Roman" w:cs="Times New Roman"/>
          <w:sz w:val="24"/>
        </w:rPr>
      </w:pPr>
    </w:p>
    <w:p w14:paraId="690FDEB2" w14:textId="77777777" w:rsidR="00445BB4" w:rsidRPr="00137F04" w:rsidRDefault="00445BB4" w:rsidP="00445BB4">
      <w:pPr>
        <w:spacing w:line="480" w:lineRule="auto"/>
        <w:rPr>
          <w:rFonts w:ascii="Times New Roman" w:hAnsi="Times New Roman" w:cs="Times New Roman"/>
          <w:sz w:val="24"/>
        </w:rPr>
      </w:pPr>
    </w:p>
    <w:p w14:paraId="20DF4F32" w14:textId="77777777" w:rsidR="00445BB4" w:rsidRPr="00137F04" w:rsidRDefault="00445BB4" w:rsidP="00445BB4">
      <w:pPr>
        <w:spacing w:before="120" w:after="120" w:line="480" w:lineRule="auto"/>
        <w:rPr>
          <w:rFonts w:ascii="Times New Roman" w:hAnsi="Times New Roman" w:cs="Times New Roman"/>
          <w:sz w:val="24"/>
          <w:shd w:val="clear" w:color="auto" w:fill="FFFFFF"/>
          <w:lang w:val="en-IE"/>
        </w:rPr>
      </w:pPr>
    </w:p>
    <w:p w14:paraId="31EE06A9" w14:textId="77777777" w:rsidR="00445BB4" w:rsidRPr="00137F04" w:rsidRDefault="00445BB4" w:rsidP="00445BB4">
      <w:pPr>
        <w:pStyle w:val="Estil1UofG"/>
        <w:numPr>
          <w:ilvl w:val="0"/>
          <w:numId w:val="0"/>
        </w:numPr>
        <w:spacing w:line="480" w:lineRule="auto"/>
        <w:rPr>
          <w:rFonts w:ascii="Times New Roman" w:hAnsi="Times New Roman" w:cs="Times New Roman"/>
          <w:b w:val="0"/>
          <w:bCs w:val="0"/>
          <w:sz w:val="24"/>
          <w:szCs w:val="24"/>
          <w:lang w:val="en-IE"/>
        </w:rPr>
      </w:pPr>
    </w:p>
    <w:p w14:paraId="13823E8A" w14:textId="77777777" w:rsidR="00445BB4" w:rsidRPr="00137F04" w:rsidRDefault="00445BB4" w:rsidP="00445BB4">
      <w:pPr>
        <w:spacing w:line="480" w:lineRule="auto"/>
        <w:rPr>
          <w:rFonts w:ascii="Times New Roman" w:hAnsi="Times New Roman" w:cs="Times New Roman"/>
          <w:sz w:val="24"/>
        </w:rPr>
      </w:pPr>
    </w:p>
    <w:p w14:paraId="3BBDC644" w14:textId="77777777" w:rsidR="00445BB4" w:rsidRDefault="00445BB4" w:rsidP="00983B05"/>
    <w:sectPr w:rsidR="00445BB4">
      <w:headerReference w:type="default" r:id="rId32"/>
      <w:footerReference w:type="default" r:id="rId3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138D32" w14:textId="77777777" w:rsidR="00FE0D71" w:rsidRDefault="00FE0D71" w:rsidP="007E4D08">
      <w:pPr>
        <w:spacing w:after="0" w:line="240" w:lineRule="auto"/>
      </w:pPr>
      <w:r>
        <w:separator/>
      </w:r>
    </w:p>
  </w:endnote>
  <w:endnote w:type="continuationSeparator" w:id="0">
    <w:p w14:paraId="1F0846AA" w14:textId="77777777" w:rsidR="00FE0D71" w:rsidRDefault="00FE0D71" w:rsidP="007E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Arial"/>
    <w:panose1 w:val="02000503000000020004"/>
    <w:charset w:val="00"/>
    <w:family w:val="roman"/>
    <w:pitch w:val="default"/>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62901020"/>
      <w:docPartObj>
        <w:docPartGallery w:val="Page Numbers (Bottom of Page)"/>
        <w:docPartUnique/>
      </w:docPartObj>
    </w:sdtPr>
    <w:sdtContent>
      <w:p w14:paraId="5D445D9D" w14:textId="058AEB8B" w:rsidR="00D855DD" w:rsidRDefault="00D855DD">
        <w:pPr>
          <w:pStyle w:val="Footer"/>
          <w:jc w:val="right"/>
        </w:pPr>
        <w:r>
          <w:fldChar w:fldCharType="begin"/>
        </w:r>
        <w:r>
          <w:instrText>PAGE   \* MERGEFORMAT</w:instrText>
        </w:r>
        <w:r>
          <w:fldChar w:fldCharType="separate"/>
        </w:r>
        <w:r>
          <w:t>2</w:t>
        </w:r>
        <w:r>
          <w:fldChar w:fldCharType="end"/>
        </w:r>
      </w:p>
    </w:sdtContent>
  </w:sdt>
  <w:p w14:paraId="00A7D3CE" w14:textId="77777777" w:rsidR="00D855DD" w:rsidRDefault="00D855DD" w:rsidP="00D855DD">
    <w:pPr>
      <w:pStyle w:val="Footer"/>
    </w:pPr>
    <w:hyperlink r:id="rId1" w:history="1">
      <w:r w:rsidRPr="008B05F5">
        <w:rPr>
          <w:rStyle w:val="Hyperlink"/>
        </w:rPr>
        <w:t>http://concept.lib.ed.ac.uk/</w:t>
      </w:r>
    </w:hyperlink>
    <w:r>
      <w:t xml:space="preserve"> Online ISSN 2042-6 968</w:t>
    </w:r>
  </w:p>
  <w:p w14:paraId="417540CE" w14:textId="78E65BD8" w:rsidR="00D855DD" w:rsidRDefault="00D855DD" w:rsidP="00D855DD">
    <w:pPr>
      <w:pStyle w:val="Footer"/>
    </w:pPr>
    <w:r>
      <w:t>Published under a Creative Common</w:t>
    </w:r>
    <w:r w:rsidR="00162AF2">
      <w:t>s</w:t>
    </w:r>
    <w:r>
      <w:t xml:space="preserve"> Attribution 4.0 International licence</w:t>
    </w:r>
  </w:p>
  <w:p w14:paraId="4034A2A7" w14:textId="77777777" w:rsidR="0096715B" w:rsidRDefault="009671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3828EA" w14:textId="77777777" w:rsidR="00FE0D71" w:rsidRDefault="00FE0D71" w:rsidP="007E4D08">
      <w:pPr>
        <w:spacing w:after="0" w:line="240" w:lineRule="auto"/>
      </w:pPr>
      <w:r>
        <w:separator/>
      </w:r>
    </w:p>
  </w:footnote>
  <w:footnote w:type="continuationSeparator" w:id="0">
    <w:p w14:paraId="2B91B943" w14:textId="77777777" w:rsidR="00FE0D71" w:rsidRDefault="00FE0D71" w:rsidP="007E4D08">
      <w:pPr>
        <w:spacing w:after="0" w:line="240" w:lineRule="auto"/>
      </w:pPr>
      <w:r>
        <w:continuationSeparator/>
      </w:r>
    </w:p>
  </w:footnote>
  <w:footnote w:id="1">
    <w:p w14:paraId="1B5577C8" w14:textId="77777777" w:rsidR="00445BB4" w:rsidRPr="007F78A8" w:rsidRDefault="00445BB4" w:rsidP="00445BB4">
      <w:pPr>
        <w:spacing w:line="360" w:lineRule="auto"/>
        <w:rPr>
          <w:rFonts w:cs="Arial"/>
        </w:rPr>
      </w:pPr>
      <w:r>
        <w:rPr>
          <w:rStyle w:val="FootnoteReference"/>
        </w:rPr>
        <w:footnoteRef/>
      </w:r>
      <w:r>
        <w:t xml:space="preserve"> </w:t>
      </w:r>
      <w:r w:rsidRPr="00EA5788">
        <w:rPr>
          <w:rFonts w:cs="Arial"/>
          <w:sz w:val="20"/>
          <w:szCs w:val="20"/>
        </w:rPr>
        <w:t>This study was supported by the project “Learning through young people's social participation. Its contribution to youth empowerment in youth trajectories. (4HEBE)” Ref. PID2023-147368OB-I0, funded by MICIU/AEI /10.13039/501100011033 and FEDER, 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914B51" w14:textId="57E0C4C8" w:rsidR="007E4D08" w:rsidRDefault="006C512D">
    <w:pPr>
      <w:pStyle w:val="Header"/>
    </w:pPr>
    <w:r>
      <w:rPr>
        <w:noProof/>
      </w:rPr>
      <w:drawing>
        <wp:inline distT="0" distB="0" distL="0" distR="0" wp14:anchorId="645F5827" wp14:editId="069EABAC">
          <wp:extent cx="1981200" cy="422536"/>
          <wp:effectExtent l="0" t="0" r="0" b="0"/>
          <wp:docPr id="2"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23754" cy="431612"/>
                  </a:xfrm>
                  <a:prstGeom prst="rect">
                    <a:avLst/>
                  </a:prstGeom>
                </pic:spPr>
              </pic:pic>
            </a:graphicData>
          </a:graphic>
        </wp:inline>
      </w:drawing>
    </w:r>
    <w:r>
      <w:t xml:space="preserve">                                        </w:t>
    </w:r>
    <w:r w:rsidR="00A96711">
      <w:t xml:space="preserve">  </w:t>
    </w:r>
    <w:r w:rsidR="00C16F5A">
      <w:t xml:space="preserve">  </w:t>
    </w:r>
    <w:r w:rsidR="00D1381D" w:rsidRPr="00D1381D">
      <w:rPr>
        <w:rFonts w:ascii="Times New Roman" w:hAnsi="Times New Roman" w:cs="Times New Roman"/>
        <w:sz w:val="24"/>
        <w:szCs w:val="24"/>
      </w:rPr>
      <w:t>V</w:t>
    </w:r>
    <w:r w:rsidRPr="00D1381D">
      <w:rPr>
        <w:rFonts w:ascii="Times New Roman" w:hAnsi="Times New Roman" w:cs="Times New Roman"/>
        <w:sz w:val="24"/>
        <w:szCs w:val="24"/>
      </w:rPr>
      <w:t xml:space="preserve">ol. </w:t>
    </w:r>
    <w:r w:rsidR="00256915">
      <w:rPr>
        <w:rFonts w:ascii="Times New Roman" w:hAnsi="Times New Roman" w:cs="Times New Roman"/>
        <w:sz w:val="24"/>
        <w:szCs w:val="24"/>
      </w:rPr>
      <w:t>17</w:t>
    </w:r>
    <w:r w:rsidRPr="00D1381D">
      <w:rPr>
        <w:rFonts w:ascii="Times New Roman" w:hAnsi="Times New Roman" w:cs="Times New Roman"/>
        <w:sz w:val="24"/>
        <w:szCs w:val="24"/>
      </w:rPr>
      <w:t xml:space="preserve">, No. </w:t>
    </w:r>
    <w:r w:rsidR="00856CEC">
      <w:rPr>
        <w:rFonts w:ascii="Times New Roman" w:hAnsi="Times New Roman" w:cs="Times New Roman"/>
        <w:sz w:val="24"/>
        <w:szCs w:val="24"/>
      </w:rPr>
      <w:t>2</w:t>
    </w:r>
    <w:r w:rsidRPr="00D1381D">
      <w:rPr>
        <w:rFonts w:ascii="Times New Roman" w:hAnsi="Times New Roman" w:cs="Times New Roman"/>
        <w:sz w:val="24"/>
        <w:szCs w:val="24"/>
      </w:rPr>
      <w:t xml:space="preserve">, </w:t>
    </w:r>
    <w:r w:rsidR="00856CEC">
      <w:rPr>
        <w:rFonts w:ascii="Times New Roman" w:hAnsi="Times New Roman" w:cs="Times New Roman"/>
        <w:sz w:val="24"/>
        <w:szCs w:val="24"/>
      </w:rPr>
      <w:t>Autum/Winter</w:t>
    </w:r>
    <w:r w:rsidR="00256915">
      <w:rPr>
        <w:rFonts w:ascii="Times New Roman" w:hAnsi="Times New Roman" w:cs="Times New Roman"/>
        <w:sz w:val="24"/>
        <w:szCs w:val="24"/>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A5158"/>
    <w:multiLevelType w:val="multilevel"/>
    <w:tmpl w:val="A51A6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9D6F83"/>
    <w:multiLevelType w:val="multilevel"/>
    <w:tmpl w:val="81645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72430"/>
    <w:multiLevelType w:val="multilevel"/>
    <w:tmpl w:val="20F6F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8D0476"/>
    <w:multiLevelType w:val="multilevel"/>
    <w:tmpl w:val="965E43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317109C"/>
    <w:multiLevelType w:val="hybridMultilevel"/>
    <w:tmpl w:val="A782B7AE"/>
    <w:lvl w:ilvl="0" w:tplc="0D76E95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1C4C5F"/>
    <w:multiLevelType w:val="multilevel"/>
    <w:tmpl w:val="95A0A588"/>
    <w:lvl w:ilvl="0">
      <w:start w:val="1"/>
      <w:numFmt w:val="decimal"/>
      <w:pStyle w:val="Estil1UofG"/>
      <w:lvlText w:val="%1."/>
      <w:lvlJc w:val="left"/>
      <w:pPr>
        <w:ind w:left="720" w:hanging="360"/>
      </w:pPr>
      <w:rPr>
        <w:rFonts w:hint="default"/>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4D0208E3"/>
    <w:multiLevelType w:val="multilevel"/>
    <w:tmpl w:val="54A0F9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3EA6C5E"/>
    <w:multiLevelType w:val="hybridMultilevel"/>
    <w:tmpl w:val="E8E4FA88"/>
    <w:lvl w:ilvl="0" w:tplc="F2FA1D24">
      <w:start w:val="1"/>
      <w:numFmt w:val="decimal"/>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123645"/>
    <w:multiLevelType w:val="hybridMultilevel"/>
    <w:tmpl w:val="4FE09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674F81"/>
    <w:multiLevelType w:val="multilevel"/>
    <w:tmpl w:val="9318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4C1718"/>
    <w:multiLevelType w:val="hybridMultilevel"/>
    <w:tmpl w:val="7264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2290573">
    <w:abstractNumId w:val="6"/>
  </w:num>
  <w:num w:numId="2" w16cid:durableId="896009350">
    <w:abstractNumId w:val="3"/>
  </w:num>
  <w:num w:numId="3" w16cid:durableId="2134399458">
    <w:abstractNumId w:val="2"/>
  </w:num>
  <w:num w:numId="4" w16cid:durableId="1032002960">
    <w:abstractNumId w:val="7"/>
  </w:num>
  <w:num w:numId="5" w16cid:durableId="1832941838">
    <w:abstractNumId w:val="8"/>
  </w:num>
  <w:num w:numId="6" w16cid:durableId="453408175">
    <w:abstractNumId w:val="0"/>
  </w:num>
  <w:num w:numId="7" w16cid:durableId="496002258">
    <w:abstractNumId w:val="1"/>
  </w:num>
  <w:num w:numId="8" w16cid:durableId="1832134814">
    <w:abstractNumId w:val="10"/>
  </w:num>
  <w:num w:numId="9" w16cid:durableId="1917087037">
    <w:abstractNumId w:val="4"/>
  </w:num>
  <w:num w:numId="10" w16cid:durableId="1392580101">
    <w:abstractNumId w:val="9"/>
  </w:num>
  <w:num w:numId="11" w16cid:durableId="73998165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BF4"/>
    <w:rsid w:val="0002564C"/>
    <w:rsid w:val="0006415A"/>
    <w:rsid w:val="00090692"/>
    <w:rsid w:val="00096154"/>
    <w:rsid w:val="000C1EFB"/>
    <w:rsid w:val="001236E2"/>
    <w:rsid w:val="00162AF2"/>
    <w:rsid w:val="00187A5A"/>
    <w:rsid w:val="001B371E"/>
    <w:rsid w:val="001E2505"/>
    <w:rsid w:val="00236264"/>
    <w:rsid w:val="002369DE"/>
    <w:rsid w:val="00251F0B"/>
    <w:rsid w:val="00255BF4"/>
    <w:rsid w:val="00256915"/>
    <w:rsid w:val="0026093D"/>
    <w:rsid w:val="00297AE2"/>
    <w:rsid w:val="002B7679"/>
    <w:rsid w:val="002C18BE"/>
    <w:rsid w:val="002C4A19"/>
    <w:rsid w:val="002E4097"/>
    <w:rsid w:val="002E72BC"/>
    <w:rsid w:val="00301A70"/>
    <w:rsid w:val="00317861"/>
    <w:rsid w:val="003407ED"/>
    <w:rsid w:val="003439B3"/>
    <w:rsid w:val="003824B3"/>
    <w:rsid w:val="00391966"/>
    <w:rsid w:val="00395CA5"/>
    <w:rsid w:val="003A4FAF"/>
    <w:rsid w:val="00413FC2"/>
    <w:rsid w:val="00445BB4"/>
    <w:rsid w:val="004620C1"/>
    <w:rsid w:val="0047756A"/>
    <w:rsid w:val="004A03EB"/>
    <w:rsid w:val="004B501A"/>
    <w:rsid w:val="004C51A4"/>
    <w:rsid w:val="0053726F"/>
    <w:rsid w:val="0054070C"/>
    <w:rsid w:val="00545180"/>
    <w:rsid w:val="00561C4A"/>
    <w:rsid w:val="00561FC1"/>
    <w:rsid w:val="00576C6B"/>
    <w:rsid w:val="005B06A1"/>
    <w:rsid w:val="005E3877"/>
    <w:rsid w:val="00615966"/>
    <w:rsid w:val="006170B4"/>
    <w:rsid w:val="00624D9A"/>
    <w:rsid w:val="00633DEF"/>
    <w:rsid w:val="00695C18"/>
    <w:rsid w:val="006C512D"/>
    <w:rsid w:val="006D0BF8"/>
    <w:rsid w:val="007A0878"/>
    <w:rsid w:val="007A2DA2"/>
    <w:rsid w:val="007B5915"/>
    <w:rsid w:val="007E4D08"/>
    <w:rsid w:val="008063CC"/>
    <w:rsid w:val="00806F97"/>
    <w:rsid w:val="00845461"/>
    <w:rsid w:val="00856CEC"/>
    <w:rsid w:val="00864515"/>
    <w:rsid w:val="00875CEF"/>
    <w:rsid w:val="00890CC3"/>
    <w:rsid w:val="008C2738"/>
    <w:rsid w:val="008C79FC"/>
    <w:rsid w:val="008D6432"/>
    <w:rsid w:val="00910B5C"/>
    <w:rsid w:val="00911F1A"/>
    <w:rsid w:val="00922DD1"/>
    <w:rsid w:val="0094208A"/>
    <w:rsid w:val="00956EC4"/>
    <w:rsid w:val="0096715B"/>
    <w:rsid w:val="0097337F"/>
    <w:rsid w:val="00974E68"/>
    <w:rsid w:val="00983B05"/>
    <w:rsid w:val="00992A0F"/>
    <w:rsid w:val="009E02E9"/>
    <w:rsid w:val="00A024BD"/>
    <w:rsid w:val="00A203BD"/>
    <w:rsid w:val="00A24F82"/>
    <w:rsid w:val="00A37FB6"/>
    <w:rsid w:val="00A9430D"/>
    <w:rsid w:val="00A96711"/>
    <w:rsid w:val="00B24F2E"/>
    <w:rsid w:val="00B4151C"/>
    <w:rsid w:val="00B4308C"/>
    <w:rsid w:val="00B61448"/>
    <w:rsid w:val="00B61C5E"/>
    <w:rsid w:val="00B8771E"/>
    <w:rsid w:val="00BB3345"/>
    <w:rsid w:val="00BC6508"/>
    <w:rsid w:val="00BD3661"/>
    <w:rsid w:val="00C044CF"/>
    <w:rsid w:val="00C070EF"/>
    <w:rsid w:val="00C16F5A"/>
    <w:rsid w:val="00C44B36"/>
    <w:rsid w:val="00CA34E5"/>
    <w:rsid w:val="00CB04B6"/>
    <w:rsid w:val="00CC076E"/>
    <w:rsid w:val="00D1381D"/>
    <w:rsid w:val="00D6355B"/>
    <w:rsid w:val="00D74B55"/>
    <w:rsid w:val="00D855DD"/>
    <w:rsid w:val="00D87550"/>
    <w:rsid w:val="00D90E12"/>
    <w:rsid w:val="00DB3C86"/>
    <w:rsid w:val="00E33B8B"/>
    <w:rsid w:val="00E66B5F"/>
    <w:rsid w:val="00E67877"/>
    <w:rsid w:val="00E7062A"/>
    <w:rsid w:val="00E96300"/>
    <w:rsid w:val="00EE1E3D"/>
    <w:rsid w:val="00EE5932"/>
    <w:rsid w:val="00F032A3"/>
    <w:rsid w:val="00F03AFE"/>
    <w:rsid w:val="00F523CF"/>
    <w:rsid w:val="00F667A7"/>
    <w:rsid w:val="00FA1302"/>
    <w:rsid w:val="00FB4FAF"/>
    <w:rsid w:val="00FD2044"/>
    <w:rsid w:val="00FD7E29"/>
    <w:rsid w:val="00FE0D71"/>
    <w:rsid w:val="00FF0E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33071"/>
  <w15:docId w15:val="{7B578BA7-187D-5744-B881-9B87B33F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624412"/>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7E4D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D08"/>
  </w:style>
  <w:style w:type="paragraph" w:styleId="Footer">
    <w:name w:val="footer"/>
    <w:basedOn w:val="Normal"/>
    <w:link w:val="FooterChar"/>
    <w:uiPriority w:val="99"/>
    <w:unhideWhenUsed/>
    <w:rsid w:val="007E4D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D08"/>
  </w:style>
  <w:style w:type="character" w:styleId="UnresolvedMention">
    <w:name w:val="Unresolved Mention"/>
    <w:basedOn w:val="DefaultParagraphFont"/>
    <w:uiPriority w:val="99"/>
    <w:semiHidden/>
    <w:unhideWhenUsed/>
    <w:rsid w:val="0096715B"/>
    <w:rPr>
      <w:color w:val="605E5C"/>
      <w:shd w:val="clear" w:color="auto" w:fill="E1DFDD"/>
    </w:rPr>
  </w:style>
  <w:style w:type="character" w:customStyle="1" w:styleId="apple-converted-space">
    <w:name w:val="apple-converted-space"/>
    <w:basedOn w:val="DefaultParagraphFont"/>
    <w:rsid w:val="00BB3345"/>
  </w:style>
  <w:style w:type="paragraph" w:customStyle="1" w:styleId="Default">
    <w:name w:val="Default"/>
    <w:rsid w:val="00B24F2E"/>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n-US"/>
      <w14:textOutline w14:w="0" w14:cap="flat" w14:cmpd="sng" w14:algn="ctr">
        <w14:noFill/>
        <w14:prstDash w14:val="solid"/>
        <w14:bevel/>
      </w14:textOutline>
    </w:rPr>
  </w:style>
  <w:style w:type="paragraph" w:styleId="NoSpacing">
    <w:name w:val="No Spacing"/>
    <w:uiPriority w:val="1"/>
    <w:qFormat/>
    <w:rsid w:val="0002564C"/>
    <w:pPr>
      <w:spacing w:after="0" w:line="240" w:lineRule="auto"/>
    </w:pPr>
    <w:rPr>
      <w:rFonts w:asciiTheme="minorHAnsi" w:eastAsiaTheme="minorEastAsia" w:hAnsiTheme="minorHAnsi" w:cstheme="minorBidi"/>
      <w:lang w:eastAsia="zh-CN"/>
    </w:rPr>
  </w:style>
  <w:style w:type="paragraph" w:styleId="FootnoteText">
    <w:name w:val="footnote text"/>
    <w:basedOn w:val="Normal"/>
    <w:link w:val="FootnoteTextChar"/>
    <w:uiPriority w:val="99"/>
    <w:semiHidden/>
    <w:unhideWhenUsed/>
    <w:rsid w:val="0002564C"/>
    <w:pPr>
      <w:spacing w:after="0" w:line="240" w:lineRule="auto"/>
    </w:pPr>
    <w:rPr>
      <w:rFonts w:asciiTheme="minorHAnsi" w:eastAsiaTheme="minorEastAsia" w:hAnsiTheme="minorHAnsi" w:cstheme="minorBidi"/>
      <w:sz w:val="20"/>
      <w:szCs w:val="20"/>
      <w:lang w:eastAsia="zh-CN"/>
    </w:rPr>
  </w:style>
  <w:style w:type="character" w:customStyle="1" w:styleId="FootnoteTextChar">
    <w:name w:val="Footnote Text Char"/>
    <w:basedOn w:val="DefaultParagraphFont"/>
    <w:link w:val="FootnoteText"/>
    <w:uiPriority w:val="99"/>
    <w:semiHidden/>
    <w:rsid w:val="0002564C"/>
    <w:rPr>
      <w:rFonts w:asciiTheme="minorHAnsi" w:eastAsiaTheme="minorEastAsia" w:hAnsiTheme="minorHAnsi" w:cstheme="minorBidi"/>
      <w:sz w:val="20"/>
      <w:szCs w:val="20"/>
      <w:lang w:eastAsia="zh-CN"/>
    </w:rPr>
  </w:style>
  <w:style w:type="character" w:styleId="FootnoteReference">
    <w:name w:val="footnote reference"/>
    <w:basedOn w:val="DefaultParagraphFont"/>
    <w:uiPriority w:val="99"/>
    <w:semiHidden/>
    <w:unhideWhenUsed/>
    <w:rsid w:val="0002564C"/>
    <w:rPr>
      <w:vertAlign w:val="superscript"/>
    </w:rPr>
  </w:style>
  <w:style w:type="character" w:customStyle="1" w:styleId="Heading3Char">
    <w:name w:val="Heading 3 Char"/>
    <w:basedOn w:val="DefaultParagraphFont"/>
    <w:link w:val="Heading3"/>
    <w:uiPriority w:val="9"/>
    <w:semiHidden/>
    <w:rsid w:val="00974E68"/>
    <w:rPr>
      <w:b/>
      <w:sz w:val="28"/>
      <w:szCs w:val="28"/>
    </w:rPr>
  </w:style>
  <w:style w:type="paragraph" w:styleId="ListParagraph">
    <w:name w:val="List Paragraph"/>
    <w:basedOn w:val="Normal"/>
    <w:uiPriority w:val="34"/>
    <w:qFormat/>
    <w:rsid w:val="00974E68"/>
    <w:pPr>
      <w:spacing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sid w:val="00BD3661"/>
    <w:rPr>
      <w:sz w:val="16"/>
      <w:szCs w:val="16"/>
    </w:rPr>
  </w:style>
  <w:style w:type="character" w:customStyle="1" w:styleId="Heading2Char">
    <w:name w:val="Heading 2 Char"/>
    <w:basedOn w:val="DefaultParagraphFont"/>
    <w:link w:val="Heading2"/>
    <w:uiPriority w:val="9"/>
    <w:rsid w:val="007A2DA2"/>
    <w:rPr>
      <w:b/>
      <w:sz w:val="36"/>
      <w:szCs w:val="36"/>
    </w:rPr>
  </w:style>
  <w:style w:type="paragraph" w:styleId="NormalWeb">
    <w:name w:val="Normal (Web)"/>
    <w:basedOn w:val="Normal"/>
    <w:uiPriority w:val="99"/>
    <w:unhideWhenUsed/>
    <w:rsid w:val="007A2D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A2DA2"/>
    <w:rPr>
      <w:b/>
      <w:sz w:val="48"/>
      <w:szCs w:val="48"/>
    </w:rPr>
  </w:style>
  <w:style w:type="paragraph" w:styleId="z-TopofForm">
    <w:name w:val="HTML Top of Form"/>
    <w:basedOn w:val="Normal"/>
    <w:next w:val="Normal"/>
    <w:link w:val="z-TopofFormChar"/>
    <w:hidden/>
    <w:uiPriority w:val="99"/>
    <w:semiHidden/>
    <w:unhideWhenUsed/>
    <w:rsid w:val="007A2DA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A2DA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A2DA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A2DA2"/>
    <w:rPr>
      <w:rFonts w:ascii="Arial" w:eastAsia="Times New Roman" w:hAnsi="Arial" w:cs="Arial"/>
      <w:vanish/>
      <w:sz w:val="16"/>
      <w:szCs w:val="16"/>
    </w:rPr>
  </w:style>
  <w:style w:type="paragraph" w:styleId="EndnoteText">
    <w:name w:val="endnote text"/>
    <w:basedOn w:val="Normal"/>
    <w:link w:val="EndnoteTextChar"/>
    <w:uiPriority w:val="99"/>
    <w:semiHidden/>
    <w:unhideWhenUsed/>
    <w:rsid w:val="007A2DA2"/>
    <w:pPr>
      <w:spacing w:after="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EndnoteTextChar">
    <w:name w:val="Endnote Text Char"/>
    <w:basedOn w:val="DefaultParagraphFont"/>
    <w:link w:val="EndnoteText"/>
    <w:uiPriority w:val="99"/>
    <w:semiHidden/>
    <w:rsid w:val="007A2DA2"/>
    <w:rPr>
      <w:rFonts w:asciiTheme="minorHAnsi" w:eastAsiaTheme="minorHAnsi" w:hAnsiTheme="minorHAnsi" w:cstheme="minorBidi"/>
      <w:kern w:val="2"/>
      <w:sz w:val="20"/>
      <w:szCs w:val="20"/>
      <w:lang w:eastAsia="en-US"/>
      <w14:ligatures w14:val="standardContextual"/>
    </w:rPr>
  </w:style>
  <w:style w:type="character" w:styleId="EndnoteReference">
    <w:name w:val="endnote reference"/>
    <w:basedOn w:val="DefaultParagraphFont"/>
    <w:uiPriority w:val="99"/>
    <w:semiHidden/>
    <w:unhideWhenUsed/>
    <w:rsid w:val="007A2DA2"/>
    <w:rPr>
      <w:vertAlign w:val="superscript"/>
    </w:rPr>
  </w:style>
  <w:style w:type="paragraph" w:styleId="Revision">
    <w:name w:val="Revision"/>
    <w:hidden/>
    <w:uiPriority w:val="99"/>
    <w:semiHidden/>
    <w:rsid w:val="007A2DA2"/>
    <w:pPr>
      <w:spacing w:after="0" w:line="240" w:lineRule="auto"/>
    </w:pPr>
    <w:rPr>
      <w:rFonts w:asciiTheme="minorHAnsi" w:eastAsiaTheme="minorHAnsi" w:hAnsiTheme="minorHAnsi" w:cstheme="minorBidi"/>
      <w:kern w:val="2"/>
      <w:lang w:eastAsia="en-US"/>
      <w14:ligatures w14:val="standardContextual"/>
    </w:rPr>
  </w:style>
  <w:style w:type="paragraph" w:customStyle="1" w:styleId="Estil1UofG">
    <w:name w:val="Estil1.UofG"/>
    <w:basedOn w:val="ListParagraph"/>
    <w:link w:val="Estil1UofGCar"/>
    <w:qFormat/>
    <w:rsid w:val="00445BB4"/>
    <w:pPr>
      <w:numPr>
        <w:numId w:val="11"/>
      </w:numPr>
      <w:spacing w:line="259" w:lineRule="auto"/>
      <w:jc w:val="both"/>
    </w:pPr>
    <w:rPr>
      <w:rFonts w:ascii="Arial" w:hAnsi="Arial"/>
      <w:b/>
      <w:bCs/>
      <w:kern w:val="0"/>
      <w:sz w:val="22"/>
      <w:szCs w:val="22"/>
      <w:lang w:val="ca-ES"/>
    </w:rPr>
  </w:style>
  <w:style w:type="character" w:customStyle="1" w:styleId="Estil1UofGCar">
    <w:name w:val="Estil1.UofG Car"/>
    <w:basedOn w:val="DefaultParagraphFont"/>
    <w:link w:val="Estil1UofG"/>
    <w:rsid w:val="00445BB4"/>
    <w:rPr>
      <w:rFonts w:ascii="Arial" w:eastAsiaTheme="minorHAnsi" w:hAnsi="Arial" w:cstheme="minorBidi"/>
      <w:b/>
      <w:bCs/>
      <w:lang w:val="ca-ES" w:eastAsia="en-US"/>
      <w14:ligatures w14:val="standardContextual"/>
    </w:rPr>
  </w:style>
  <w:style w:type="paragraph" w:styleId="Caption">
    <w:name w:val="caption"/>
    <w:basedOn w:val="Normal"/>
    <w:next w:val="Normal"/>
    <w:uiPriority w:val="35"/>
    <w:unhideWhenUsed/>
    <w:qFormat/>
    <w:rsid w:val="00445BB4"/>
    <w:pPr>
      <w:spacing w:after="200" w:line="240" w:lineRule="auto"/>
      <w:jc w:val="both"/>
    </w:pPr>
    <w:rPr>
      <w:rFonts w:ascii="Arial" w:eastAsiaTheme="minorHAnsi" w:hAnsi="Arial" w:cstheme="minorBidi"/>
      <w:i/>
      <w:iCs/>
      <w:color w:val="44546A" w:themeColor="text2"/>
      <w:kern w:val="2"/>
      <w:sz w:val="18"/>
      <w:szCs w:val="18"/>
      <w:lang w:val="ca-E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948280">
      <w:bodyDiv w:val="1"/>
      <w:marLeft w:val="0"/>
      <w:marRight w:val="0"/>
      <w:marTop w:val="0"/>
      <w:marBottom w:val="0"/>
      <w:divBdr>
        <w:top w:val="none" w:sz="0" w:space="0" w:color="auto"/>
        <w:left w:val="none" w:sz="0" w:space="0" w:color="auto"/>
        <w:bottom w:val="none" w:sz="0" w:space="0" w:color="auto"/>
        <w:right w:val="none" w:sz="0" w:space="0" w:color="auto"/>
      </w:divBdr>
    </w:div>
    <w:div w:id="199519012">
      <w:bodyDiv w:val="1"/>
      <w:marLeft w:val="0"/>
      <w:marRight w:val="0"/>
      <w:marTop w:val="0"/>
      <w:marBottom w:val="0"/>
      <w:divBdr>
        <w:top w:val="none" w:sz="0" w:space="0" w:color="auto"/>
        <w:left w:val="none" w:sz="0" w:space="0" w:color="auto"/>
        <w:bottom w:val="none" w:sz="0" w:space="0" w:color="auto"/>
        <w:right w:val="none" w:sz="0" w:space="0" w:color="auto"/>
      </w:divBdr>
    </w:div>
    <w:div w:id="280066639">
      <w:bodyDiv w:val="1"/>
      <w:marLeft w:val="0"/>
      <w:marRight w:val="0"/>
      <w:marTop w:val="0"/>
      <w:marBottom w:val="0"/>
      <w:divBdr>
        <w:top w:val="none" w:sz="0" w:space="0" w:color="auto"/>
        <w:left w:val="none" w:sz="0" w:space="0" w:color="auto"/>
        <w:bottom w:val="none" w:sz="0" w:space="0" w:color="auto"/>
        <w:right w:val="none" w:sz="0" w:space="0" w:color="auto"/>
      </w:divBdr>
    </w:div>
    <w:div w:id="299698905">
      <w:bodyDiv w:val="1"/>
      <w:marLeft w:val="0"/>
      <w:marRight w:val="0"/>
      <w:marTop w:val="0"/>
      <w:marBottom w:val="0"/>
      <w:divBdr>
        <w:top w:val="none" w:sz="0" w:space="0" w:color="auto"/>
        <w:left w:val="none" w:sz="0" w:space="0" w:color="auto"/>
        <w:bottom w:val="none" w:sz="0" w:space="0" w:color="auto"/>
        <w:right w:val="none" w:sz="0" w:space="0" w:color="auto"/>
      </w:divBdr>
    </w:div>
    <w:div w:id="311176694">
      <w:bodyDiv w:val="1"/>
      <w:marLeft w:val="0"/>
      <w:marRight w:val="0"/>
      <w:marTop w:val="0"/>
      <w:marBottom w:val="0"/>
      <w:divBdr>
        <w:top w:val="none" w:sz="0" w:space="0" w:color="auto"/>
        <w:left w:val="none" w:sz="0" w:space="0" w:color="auto"/>
        <w:bottom w:val="none" w:sz="0" w:space="0" w:color="auto"/>
        <w:right w:val="none" w:sz="0" w:space="0" w:color="auto"/>
      </w:divBdr>
    </w:div>
    <w:div w:id="429132646">
      <w:bodyDiv w:val="1"/>
      <w:marLeft w:val="0"/>
      <w:marRight w:val="0"/>
      <w:marTop w:val="0"/>
      <w:marBottom w:val="0"/>
      <w:divBdr>
        <w:top w:val="none" w:sz="0" w:space="0" w:color="auto"/>
        <w:left w:val="none" w:sz="0" w:space="0" w:color="auto"/>
        <w:bottom w:val="none" w:sz="0" w:space="0" w:color="auto"/>
        <w:right w:val="none" w:sz="0" w:space="0" w:color="auto"/>
      </w:divBdr>
    </w:div>
    <w:div w:id="10270992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uofgsotl.blog/sotladvent-day-12/" TargetMode="External"/><Relationship Id="rId18" Type="http://schemas.openxmlformats.org/officeDocument/2006/relationships/hyperlink" Target="https://dx.doi.org/10.4135/9781526435873.n4" TargetMode="External"/><Relationship Id="rId26" Type="http://schemas.openxmlformats.org/officeDocument/2006/relationships/hyperlink" Target="https://doi.org/10.1177/10497315221147532" TargetMode="External"/><Relationship Id="rId3" Type="http://schemas.openxmlformats.org/officeDocument/2006/relationships/customXml" Target="../customXml/item3.xml"/><Relationship Id="rId21" Type="http://schemas.openxmlformats.org/officeDocument/2006/relationships/hyperlink" Target="https://doi.org/10.32674/8a7gn586"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doi.org/10.5565/rev/educar.1595" TargetMode="External"/><Relationship Id="rId25" Type="http://schemas.openxmlformats.org/officeDocument/2006/relationships/hyperlink" Target="https://doi.org/10.1016/j.childyouth.2024.107600"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oi.org/10.1177/1744987120927206" TargetMode="External"/><Relationship Id="rId20" Type="http://schemas.openxmlformats.org/officeDocument/2006/relationships/hyperlink" Target="https://doi.org/10.54431/jsi.716" TargetMode="External"/><Relationship Id="rId29" Type="http://schemas.openxmlformats.org/officeDocument/2006/relationships/hyperlink" Target="https://doi.org/10.1080/10705422.2025.260532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i.org./10.1177/10982140211055643" TargetMode="External"/><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emerald.com/insight/content/doi/10.1108/QRJ-04-2023-0063/full/pdf?title=factors-that-enhance-and-limit-youth-empowerment-according-to-social-educators" TargetMode="External"/><Relationship Id="rId28" Type="http://schemas.openxmlformats.org/officeDocument/2006/relationships/hyperlink" Target="https://doi.org/10.31579/2690-8794/091" TargetMode="External"/><Relationship Id="rId10" Type="http://schemas.openxmlformats.org/officeDocument/2006/relationships/footnotes" Target="footnotes.xml"/><Relationship Id="rId19" Type="http://schemas.openxmlformats.org/officeDocument/2006/relationships/hyperlink" Target="https://doi.org/10.1111/chso.12526" TargetMode="External"/><Relationship Id="rId31" Type="http://schemas.openxmlformats.org/officeDocument/2006/relationships/hyperlink" Target="https://doi.org/10.1007/978-1-4615-4193-6_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hyperlink" Target="https://doi.org/10.11600/rlcsnj.7.1.216" TargetMode="External"/><Relationship Id="rId27" Type="http://schemas.openxmlformats.org/officeDocument/2006/relationships/hyperlink" Target="https://doi.org/10.3390/educsci11090526" TargetMode="External"/><Relationship Id="rId30" Type="http://schemas.openxmlformats.org/officeDocument/2006/relationships/hyperlink" Target="https://doi.org/10.1108/ET-05-2024-0244" TargetMode="External"/><Relationship Id="rId35" Type="http://schemas.openxmlformats.org/officeDocument/2006/relationships/theme" Target="theme/theme1.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hyperlink" Target="http://concept.lib.ed.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nuqz3dh9UTNxLuqIZHlfibMkGQ==">CgMxLjA4AHIhMTNiaHBuSG0tbmlzQndXZmk1SEx3Q1g2MWJUcHZWeDBC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BAC60DE1441EC47AE0301B95B00C090" ma:contentTypeVersion="13" ma:contentTypeDescription="Create a new document." ma:contentTypeScope="" ma:versionID="d42b45eb07ffac1dbee244087a34a124">
  <xsd:schema xmlns:xsd="http://www.w3.org/2001/XMLSchema" xmlns:xs="http://www.w3.org/2001/XMLSchema" xmlns:p="http://schemas.microsoft.com/office/2006/metadata/properties" xmlns:ns3="8d5d35c3-51e4-424c-943d-69068a92fd61" xmlns:ns4="9fdaf014-0607-43be-99c4-ca6c303e7aea" targetNamespace="http://schemas.microsoft.com/office/2006/metadata/properties" ma:root="true" ma:fieldsID="7b9c673499dac9a20ddaa8e9758d1cd1" ns3:_="" ns4:_="">
    <xsd:import namespace="8d5d35c3-51e4-424c-943d-69068a92fd61"/>
    <xsd:import namespace="9fdaf014-0607-43be-99c4-ca6c303e7ae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d35c3-51e4-424c-943d-69068a92fd61"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af014-0607-43be-99c4-ca6c303e7ae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activity xmlns="8d5d35c3-51e4-424c-943d-69068a92fd61"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181856E-2917-49AE-9E6A-ACD8608AB17E}">
  <ds:schemaRefs>
    <ds:schemaRef ds:uri="http://schemas.openxmlformats.org/officeDocument/2006/bibliography"/>
  </ds:schemaRefs>
</ds:datastoreItem>
</file>

<file path=customXml/itemProps3.xml><?xml version="1.0" encoding="utf-8"?>
<ds:datastoreItem xmlns:ds="http://schemas.openxmlformats.org/officeDocument/2006/customXml" ds:itemID="{9DCAF93B-CEF6-4B43-A840-5CFDE4BF0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d35c3-51e4-424c-943d-69068a92fd61"/>
    <ds:schemaRef ds:uri="9fdaf014-0607-43be-99c4-ca6c303e7a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4057B0-DF56-43B5-AB0A-0D095D8F04B2}">
  <ds:schemaRefs>
    <ds:schemaRef ds:uri="http://schemas.microsoft.com/sharepoint/v3/contenttype/forms"/>
  </ds:schemaRefs>
</ds:datastoreItem>
</file>

<file path=customXml/itemProps5.xml><?xml version="1.0" encoding="utf-8"?>
<ds:datastoreItem xmlns:ds="http://schemas.openxmlformats.org/officeDocument/2006/customXml" ds:itemID="{743EF30E-16AD-4296-9ABC-D026A3080F9A}">
  <ds:schemaRefs>
    <ds:schemaRef ds:uri="http://schemas.microsoft.com/office/2006/metadata/properties"/>
    <ds:schemaRef ds:uri="http://schemas.microsoft.com/office/infopath/2007/PartnerControls"/>
    <ds:schemaRef ds:uri="8d5d35c3-51e4-424c-943d-69068a92fd6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4694</Words>
  <Characters>26758</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Luke Blackham</dc:creator>
  <cp:lastModifiedBy>Mae Shaw</cp:lastModifiedBy>
  <cp:revision>4</cp:revision>
  <cp:lastPrinted>2023-10-02T08:23:00Z</cp:lastPrinted>
  <dcterms:created xsi:type="dcterms:W3CDTF">2026-10-10T07:01:00Z</dcterms:created>
  <dcterms:modified xsi:type="dcterms:W3CDTF">2026-10-29T15:54:00Z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0x010100ABAC60DE1441EC47AE0301B95B00C090</vt:lpwstr>
  </property>
</Properties>
</file>